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B72D" w14:textId="01B60DC8" w:rsidR="007B274B" w:rsidRPr="003900C3" w:rsidRDefault="0050608F" w:rsidP="007B274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</w:rPr>
        <w:t>2</w:t>
      </w:r>
      <w:r w:rsidR="00136149">
        <w:rPr>
          <w:rFonts w:ascii="Arial" w:eastAsia="Times New Roman" w:hAnsi="Arial" w:cs="Arial"/>
          <w:color w:val="000000" w:themeColor="text1"/>
          <w:sz w:val="20"/>
        </w:rPr>
        <w:t>7</w:t>
      </w:r>
      <w:r w:rsidR="00322A4F" w:rsidRPr="003900C3">
        <w:rPr>
          <w:rFonts w:ascii="Arial" w:eastAsia="Times New Roman" w:hAnsi="Arial" w:cs="Arial"/>
          <w:color w:val="000000" w:themeColor="text1"/>
          <w:sz w:val="20"/>
        </w:rPr>
        <w:t xml:space="preserve"> July</w:t>
      </w:r>
      <w:r w:rsidR="00460150" w:rsidRPr="003900C3">
        <w:rPr>
          <w:rFonts w:ascii="Arial" w:eastAsia="Times New Roman" w:hAnsi="Arial" w:cs="Arial"/>
          <w:color w:val="000000" w:themeColor="text1"/>
          <w:sz w:val="20"/>
        </w:rPr>
        <w:t xml:space="preserve"> 2018</w:t>
      </w:r>
    </w:p>
    <w:p w14:paraId="5555B72E" w14:textId="599D66C2" w:rsidR="007B274B" w:rsidRPr="007B274B" w:rsidRDefault="00322A4F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Process and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ield-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cale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thanol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y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ield of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ive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l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ignocellulosic </w:t>
      </w:r>
      <w:r w:rsidR="00C01A1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eedstocks</w:t>
      </w:r>
    </w:p>
    <w:p w14:paraId="5555B72F" w14:textId="067C0123" w:rsidR="007B274B" w:rsidRPr="007B274B" w:rsidRDefault="00322A4F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Evidence suggests that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biorefineries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can accept a variety of feedstocks without negatively impacting field-scale ethanol yields</w:t>
      </w:r>
    </w:p>
    <w:p w14:paraId="5555B730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02E9812C" w14:textId="5E445B54" w:rsidR="00FE34EE" w:rsidRDefault="00FE34EE" w:rsidP="00C0274B">
      <w:pPr>
        <w:spacing w:after="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GLBRC researchers processed and experimentally quantified ethanol production from five different 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 xml:space="preserve">herbaceous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feedstocks: 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 xml:space="preserve">two annuals (corn </w:t>
      </w:r>
      <w:proofErr w:type="spellStart"/>
      <w:r w:rsidR="000C0724">
        <w:rPr>
          <w:rFonts w:ascii="Arial" w:eastAsia="Times New Roman" w:hAnsi="Arial" w:cs="Arial"/>
          <w:color w:val="363636"/>
          <w:sz w:val="20"/>
          <w:szCs w:val="20"/>
        </w:rPr>
        <w:t>stover</w:t>
      </w:r>
      <w:proofErr w:type="spellEnd"/>
      <w:r w:rsidR="000C0724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>
        <w:rPr>
          <w:rFonts w:ascii="Arial" w:eastAsia="Times New Roman" w:hAnsi="Arial" w:cs="Arial"/>
          <w:color w:val="363636"/>
          <w:sz w:val="20"/>
          <w:szCs w:val="20"/>
        </w:rPr>
        <w:t>energy sorghum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>)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>and three perennials (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switchgrass,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miscanthus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376465">
        <w:rPr>
          <w:rFonts w:ascii="Arial" w:eastAsia="Times New Roman" w:hAnsi="Arial" w:cs="Arial"/>
          <w:color w:val="363636"/>
          <w:sz w:val="20"/>
          <w:szCs w:val="20"/>
        </w:rPr>
        <w:t>restored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prairie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>)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They determined that 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>a range of plant types could be used</w:t>
      </w:r>
      <w:r w:rsidR="003900C3">
        <w:rPr>
          <w:rFonts w:ascii="Arial" w:eastAsia="Times New Roman" w:hAnsi="Arial" w:cs="Arial"/>
          <w:color w:val="363636"/>
          <w:sz w:val="20"/>
          <w:szCs w:val="20"/>
        </w:rPr>
        <w:t xml:space="preserve"> in a lignocellulosic ethanol refinery</w:t>
      </w:r>
      <w:r w:rsidR="000C0724">
        <w:rPr>
          <w:rFonts w:ascii="Arial" w:eastAsia="Times New Roman" w:hAnsi="Arial" w:cs="Arial"/>
          <w:color w:val="363636"/>
          <w:sz w:val="20"/>
          <w:szCs w:val="20"/>
        </w:rPr>
        <w:t xml:space="preserve"> without having a major impact on field-scale ethanol yield, which represents the ethanol production per land area. </w:t>
      </w:r>
    </w:p>
    <w:p w14:paraId="4C8B2E44" w14:textId="0B2ADB4F" w:rsidR="000C0724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659B58B6" w14:textId="16D7F03E" w:rsidR="000C0724" w:rsidRDefault="000C0724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Lignocellulosic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biorefineries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are currently designed around a model where one, or sometimes two, feedstocks are grown and harvested nearby, then processed and fermented into </w:t>
      </w:r>
      <w:r w:rsidR="003900C3">
        <w:rPr>
          <w:rFonts w:ascii="Arial" w:eastAsia="Times New Roman" w:hAnsi="Arial" w:cs="Arial"/>
          <w:color w:val="363636"/>
          <w:sz w:val="20"/>
          <w:szCs w:val="20"/>
        </w:rPr>
        <w:t xml:space="preserve">biofuels or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bioproducts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. However, accepting a variety of feedstocks could improve the environmental footprint of the facility;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biorefinery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economics; and harvest, storage, and transportation logistics. By examining both the process ethanol yield (efficiency of microbes during fermentation) and field-scale ethanol yield (ethanol production per land area), </w:t>
      </w:r>
      <w:r w:rsidR="00F241D6">
        <w:rPr>
          <w:rFonts w:ascii="Arial" w:eastAsia="Times New Roman" w:hAnsi="Arial" w:cs="Arial"/>
          <w:color w:val="363636"/>
          <w:sz w:val="20"/>
          <w:szCs w:val="20"/>
        </w:rPr>
        <w:t xml:space="preserve">GLBRC scientists were able to determine that a lignocellulosic refinery could be relatively feedstock agnostic in terms of what materials are accepted and processed. </w:t>
      </w:r>
    </w:p>
    <w:p w14:paraId="5555B734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129D987E" w14:textId="500C021A" w:rsidR="00CF481A" w:rsidRPr="00D5500E" w:rsidRDefault="0039040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I</w:t>
      </w:r>
      <w:r w:rsidR="00D5500E">
        <w:rPr>
          <w:rFonts w:ascii="Arial" w:eastAsia="Times New Roman" w:hAnsi="Arial" w:cs="Arial"/>
          <w:color w:val="363636"/>
          <w:sz w:val="20"/>
          <w:szCs w:val="20"/>
        </w:rPr>
        <w:t xml:space="preserve">n this study, GLBRC scientists investigated how five different feedstocks affected process and field-scale ethanol yields. Two annual crops (corn </w:t>
      </w:r>
      <w:proofErr w:type="spellStart"/>
      <w:r w:rsidR="00D5500E">
        <w:rPr>
          <w:rFonts w:ascii="Arial" w:eastAsia="Times New Roman" w:hAnsi="Arial" w:cs="Arial"/>
          <w:color w:val="363636"/>
          <w:sz w:val="20"/>
          <w:szCs w:val="20"/>
        </w:rPr>
        <w:t>stover</w:t>
      </w:r>
      <w:proofErr w:type="spellEnd"/>
      <w:r w:rsidR="00D5500E">
        <w:rPr>
          <w:rFonts w:ascii="Arial" w:eastAsia="Times New Roman" w:hAnsi="Arial" w:cs="Arial"/>
          <w:color w:val="363636"/>
          <w:sz w:val="20"/>
          <w:szCs w:val="20"/>
        </w:rPr>
        <w:t xml:space="preserve"> and energy sorghum) and three perennial crops (switchgrass, </w:t>
      </w:r>
      <w:proofErr w:type="spellStart"/>
      <w:r w:rsidR="00D5500E">
        <w:rPr>
          <w:rFonts w:ascii="Arial" w:eastAsia="Times New Roman" w:hAnsi="Arial" w:cs="Arial"/>
          <w:color w:val="363636"/>
          <w:sz w:val="20"/>
          <w:szCs w:val="20"/>
        </w:rPr>
        <w:t>miscanthus</w:t>
      </w:r>
      <w:proofErr w:type="spellEnd"/>
      <w:r w:rsidR="00D5500E"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C74919">
        <w:rPr>
          <w:rFonts w:ascii="Arial" w:eastAsia="Times New Roman" w:hAnsi="Arial" w:cs="Arial"/>
          <w:color w:val="363636"/>
          <w:sz w:val="20"/>
          <w:szCs w:val="20"/>
        </w:rPr>
        <w:t xml:space="preserve">restored </w:t>
      </w:r>
      <w:r w:rsidR="00D5500E">
        <w:rPr>
          <w:rFonts w:ascii="Arial" w:eastAsia="Times New Roman" w:hAnsi="Arial" w:cs="Arial"/>
          <w:color w:val="363636"/>
          <w:sz w:val="20"/>
          <w:szCs w:val="20"/>
        </w:rPr>
        <w:t xml:space="preserve">prairie) were pretreated using </w:t>
      </w:r>
      <w:r w:rsidR="008670F6">
        <w:rPr>
          <w:rFonts w:ascii="Arial" w:eastAsia="Times New Roman" w:hAnsi="Arial" w:cs="Arial"/>
          <w:color w:val="363636"/>
          <w:sz w:val="20"/>
          <w:szCs w:val="20"/>
        </w:rPr>
        <w:t xml:space="preserve">ammonia fiber expansion </w:t>
      </w:r>
      <w:r w:rsidR="00D5500E">
        <w:rPr>
          <w:rFonts w:ascii="Arial" w:eastAsia="Times New Roman" w:hAnsi="Arial" w:cs="Arial"/>
          <w:color w:val="363636"/>
          <w:sz w:val="20"/>
          <w:szCs w:val="20"/>
        </w:rPr>
        <w:t>(AFEX), hydrolyzed, and fermented separately using yeast (</w:t>
      </w:r>
      <w:r w:rsidR="00D5500E">
        <w:rPr>
          <w:rFonts w:ascii="Arial" w:eastAsia="Times New Roman" w:hAnsi="Arial" w:cs="Arial"/>
          <w:i/>
          <w:color w:val="363636"/>
          <w:sz w:val="20"/>
          <w:szCs w:val="20"/>
        </w:rPr>
        <w:t xml:space="preserve">Saccharomyces cerevisiae </w:t>
      </w:r>
      <w:r w:rsidR="00D5500E">
        <w:rPr>
          <w:rFonts w:ascii="Arial" w:eastAsia="Times New Roman" w:hAnsi="Arial" w:cs="Arial"/>
          <w:color w:val="363636"/>
          <w:sz w:val="20"/>
          <w:szCs w:val="20"/>
        </w:rPr>
        <w:t>Y128) or bacteria (</w:t>
      </w:r>
      <w:proofErr w:type="spellStart"/>
      <w:r w:rsidR="00D5500E">
        <w:rPr>
          <w:rFonts w:ascii="Arial" w:eastAsia="Times New Roman" w:hAnsi="Arial" w:cs="Arial"/>
          <w:i/>
          <w:color w:val="363636"/>
          <w:sz w:val="20"/>
          <w:szCs w:val="20"/>
        </w:rPr>
        <w:t>Zymomonas</w:t>
      </w:r>
      <w:proofErr w:type="spellEnd"/>
      <w:r w:rsidR="00D5500E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proofErr w:type="spellStart"/>
      <w:r w:rsidR="00D5500E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D5500E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r w:rsidR="00696A64">
        <w:rPr>
          <w:rFonts w:ascii="Arial" w:eastAsia="Times New Roman" w:hAnsi="Arial" w:cs="Arial"/>
          <w:color w:val="363636"/>
          <w:sz w:val="20"/>
          <w:szCs w:val="20"/>
        </w:rPr>
        <w:t>8b). They</w:t>
      </w:r>
      <w:r w:rsidR="00CE3421">
        <w:rPr>
          <w:rFonts w:ascii="Arial" w:eastAsia="Times New Roman" w:hAnsi="Arial" w:cs="Arial"/>
          <w:color w:val="363636"/>
          <w:sz w:val="20"/>
          <w:szCs w:val="20"/>
        </w:rPr>
        <w:t xml:space="preserve"> found that while both biomass quality (chemical composition, moisture content, etc.) and biomass yield affected field-scale ethanol yield, biomass quality was the main driver </w:t>
      </w:r>
      <w:r w:rsidR="00922AA0">
        <w:rPr>
          <w:rFonts w:ascii="Arial" w:eastAsia="Times New Roman" w:hAnsi="Arial" w:cs="Arial"/>
          <w:color w:val="363636"/>
          <w:sz w:val="20"/>
          <w:szCs w:val="20"/>
        </w:rPr>
        <w:t xml:space="preserve">for the ethanol yields </w:t>
      </w:r>
      <w:r w:rsidR="00CE3421">
        <w:rPr>
          <w:rFonts w:ascii="Arial" w:eastAsia="Times New Roman" w:hAnsi="Arial" w:cs="Arial"/>
          <w:color w:val="363636"/>
          <w:sz w:val="20"/>
          <w:szCs w:val="20"/>
        </w:rPr>
        <w:t>for high-yielding</w:t>
      </w:r>
      <w:r w:rsidR="003900C3">
        <w:rPr>
          <w:rFonts w:ascii="Arial" w:eastAsia="Times New Roman" w:hAnsi="Arial" w:cs="Arial"/>
          <w:color w:val="363636"/>
          <w:sz w:val="20"/>
          <w:szCs w:val="20"/>
        </w:rPr>
        <w:t xml:space="preserve"> crops</w:t>
      </w:r>
      <w:r w:rsidR="00CE3421">
        <w:rPr>
          <w:rFonts w:ascii="Arial" w:eastAsia="Times New Roman" w:hAnsi="Arial" w:cs="Arial"/>
          <w:color w:val="363636"/>
          <w:sz w:val="20"/>
          <w:szCs w:val="20"/>
        </w:rPr>
        <w:t xml:space="preserve"> and biomass yield was the main driv</w:t>
      </w:r>
      <w:r w:rsidR="0099046E">
        <w:rPr>
          <w:rFonts w:ascii="Arial" w:eastAsia="Times New Roman" w:hAnsi="Arial" w:cs="Arial"/>
          <w:color w:val="363636"/>
          <w:sz w:val="20"/>
          <w:szCs w:val="20"/>
        </w:rPr>
        <w:t xml:space="preserve">er </w:t>
      </w:r>
      <w:r w:rsidR="00922AA0">
        <w:rPr>
          <w:rFonts w:ascii="Arial" w:eastAsia="Times New Roman" w:hAnsi="Arial" w:cs="Arial"/>
          <w:color w:val="363636"/>
          <w:sz w:val="20"/>
          <w:szCs w:val="20"/>
        </w:rPr>
        <w:t xml:space="preserve">for the ethanol yields for </w:t>
      </w:r>
      <w:r w:rsidR="006A2743" w:rsidRPr="006A2743">
        <w:rPr>
          <w:rFonts w:ascii="Arial" w:eastAsia="Times New Roman" w:hAnsi="Arial" w:cs="Arial"/>
          <w:color w:val="363636"/>
          <w:sz w:val="20"/>
          <w:szCs w:val="20"/>
        </w:rPr>
        <w:t>low</w:t>
      </w:r>
      <w:r w:rsidR="006A2743" w:rsidRPr="006A2743">
        <w:rPr>
          <w:rFonts w:ascii="Calibri" w:eastAsia="Calibri" w:hAnsi="Calibri" w:cs="Calibri"/>
          <w:color w:val="363636"/>
          <w:sz w:val="20"/>
          <w:szCs w:val="20"/>
        </w:rPr>
        <w:t>‐</w:t>
      </w:r>
      <w:r w:rsidR="006A2743">
        <w:rPr>
          <w:rFonts w:ascii="Arial" w:eastAsia="Times New Roman" w:hAnsi="Arial" w:cs="Arial"/>
          <w:color w:val="363636"/>
          <w:sz w:val="20"/>
          <w:szCs w:val="20"/>
        </w:rPr>
        <w:t>productivity crops</w:t>
      </w:r>
      <w:r w:rsidR="0099046E">
        <w:rPr>
          <w:rFonts w:ascii="Arial" w:eastAsia="Times New Roman" w:hAnsi="Arial" w:cs="Arial"/>
          <w:color w:val="363636"/>
          <w:sz w:val="20"/>
          <w:szCs w:val="20"/>
        </w:rPr>
        <w:t>. Therefore, to increase ethanol yield for high-yielding crops, it may be pruden</w:t>
      </w:r>
      <w:r w:rsidR="00CC7DCC">
        <w:rPr>
          <w:rFonts w:ascii="Arial" w:eastAsia="Times New Roman" w:hAnsi="Arial" w:cs="Arial"/>
          <w:color w:val="363636"/>
          <w:sz w:val="20"/>
          <w:szCs w:val="20"/>
        </w:rPr>
        <w:t>t to focus efforts on improving</w:t>
      </w:r>
      <w:r w:rsidR="0099046E">
        <w:rPr>
          <w:rFonts w:ascii="Arial" w:eastAsia="Times New Roman" w:hAnsi="Arial" w:cs="Arial"/>
          <w:color w:val="363636"/>
          <w:sz w:val="20"/>
          <w:szCs w:val="20"/>
        </w:rPr>
        <w:t xml:space="preserve"> biomass quality or conversion efficiency, whereas for low-yielding crops, focusing on i</w:t>
      </w:r>
      <w:r w:rsidR="00CC7DCC">
        <w:rPr>
          <w:rFonts w:ascii="Arial" w:eastAsia="Times New Roman" w:hAnsi="Arial" w:cs="Arial"/>
          <w:color w:val="363636"/>
          <w:sz w:val="20"/>
          <w:szCs w:val="20"/>
        </w:rPr>
        <w:t>ncreasing</w:t>
      </w:r>
      <w:r w:rsidR="0099046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CA6970">
        <w:rPr>
          <w:rFonts w:ascii="Arial" w:eastAsia="Times New Roman" w:hAnsi="Arial" w:cs="Arial"/>
          <w:color w:val="363636"/>
          <w:sz w:val="20"/>
          <w:szCs w:val="20"/>
        </w:rPr>
        <w:t xml:space="preserve">biomass </w:t>
      </w:r>
      <w:r w:rsidR="0099046E">
        <w:rPr>
          <w:rFonts w:ascii="Arial" w:eastAsia="Times New Roman" w:hAnsi="Arial" w:cs="Arial"/>
          <w:color w:val="363636"/>
          <w:sz w:val="20"/>
          <w:szCs w:val="20"/>
        </w:rPr>
        <w:t xml:space="preserve">yield may be the best strategy. For process ethanol yields, most feedstocks fell within a similar range, especially when </w:t>
      </w:r>
      <w:r w:rsidR="0099046E" w:rsidRPr="0099046E">
        <w:rPr>
          <w:rFonts w:ascii="Arial" w:eastAsia="Times New Roman" w:hAnsi="Arial" w:cs="Arial"/>
          <w:i/>
          <w:color w:val="363636"/>
          <w:sz w:val="20"/>
          <w:szCs w:val="20"/>
        </w:rPr>
        <w:t xml:space="preserve">Z. </w:t>
      </w:r>
      <w:proofErr w:type="spellStart"/>
      <w:r w:rsidR="0099046E" w:rsidRPr="0099046E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99046E">
        <w:rPr>
          <w:rFonts w:ascii="Arial" w:eastAsia="Times New Roman" w:hAnsi="Arial" w:cs="Arial"/>
          <w:color w:val="363636"/>
          <w:sz w:val="20"/>
          <w:szCs w:val="20"/>
        </w:rPr>
        <w:t xml:space="preserve"> 8b was used. In total, the results of this study suggest that a variety of feedstocks with a range of quality can be used in a lignocellulosic refinery without a major negative impact</w:t>
      </w:r>
      <w:r w:rsidR="005B6E66">
        <w:rPr>
          <w:rFonts w:ascii="Arial" w:eastAsia="Times New Roman" w:hAnsi="Arial" w:cs="Arial"/>
          <w:color w:val="363636"/>
          <w:sz w:val="20"/>
          <w:szCs w:val="20"/>
        </w:rPr>
        <w:t xml:space="preserve"> on field-scale ethanol yields. </w:t>
      </w:r>
    </w:p>
    <w:p w14:paraId="5555B73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5555B737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8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5555B739" w14:textId="1422CB06" w:rsidR="009A66FB" w:rsidRDefault="00802871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Rebecca G. Ong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Michigan Technological Universit</w:t>
          </w:r>
          <w:r w:rsidR="00D5500E">
            <w:rPr>
              <w:rFonts w:ascii="Arial" w:eastAsia="Times New Roman" w:hAnsi="Arial" w:cs="Arial"/>
              <w:color w:val="363636"/>
              <w:sz w:val="20"/>
              <w:szCs w:val="20"/>
            </w:rPr>
            <w:t>y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AA07CD">
          <w:rPr>
            <w:rStyle w:val="Hyperlink"/>
            <w:rFonts w:ascii="Arial" w:eastAsia="Times New Roman" w:hAnsi="Arial" w:cs="Arial"/>
            <w:sz w:val="20"/>
            <w:szCs w:val="20"/>
          </w:rPr>
          <w:t>rgong1@mtu.edu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906-487-2662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A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Funding</w:t>
      </w:r>
    </w:p>
    <w:p w14:paraId="3C7D423D" w14:textId="77777777" w:rsidR="00D907C8" w:rsidRPr="00D907C8" w:rsidRDefault="00D907C8" w:rsidP="00D90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7C8">
        <w:rPr>
          <w:rFonts w:ascii="Arial" w:hAnsi="Arial" w:cs="Arial"/>
          <w:sz w:val="20"/>
          <w:szCs w:val="20"/>
        </w:rPr>
        <w:t>This material is based upon work supported by the U.S. Department of Energy, Office of Science, Office of Biological and</w:t>
      </w:r>
    </w:p>
    <w:p w14:paraId="6BF0883F" w14:textId="0BCD0618" w:rsidR="00D907C8" w:rsidRPr="00D907C8" w:rsidRDefault="00D907C8" w:rsidP="00D90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7C8">
        <w:rPr>
          <w:rFonts w:ascii="Arial" w:hAnsi="Arial" w:cs="Arial"/>
          <w:sz w:val="20"/>
          <w:szCs w:val="20"/>
        </w:rPr>
        <w:t>Environmental Research under Award Number DE-SC0018409, and work funded by the DOE Great Lakes Bioenergy Research Center</w:t>
      </w:r>
      <w:r>
        <w:rPr>
          <w:rFonts w:ascii="Arial" w:hAnsi="Arial" w:cs="Arial"/>
          <w:sz w:val="20"/>
          <w:szCs w:val="20"/>
        </w:rPr>
        <w:t xml:space="preserve"> </w:t>
      </w:r>
      <w:r w:rsidRPr="00D907C8">
        <w:rPr>
          <w:rFonts w:ascii="Arial" w:hAnsi="Arial" w:cs="Arial"/>
          <w:sz w:val="20"/>
          <w:szCs w:val="20"/>
        </w:rPr>
        <w:t>(DOE BER Office of Science DE-FC02-07ER64494).</w:t>
      </w:r>
    </w:p>
    <w:p w14:paraId="5555B73C" w14:textId="4F806CFA" w:rsidR="007B274B" w:rsidRDefault="007B274B" w:rsidP="00D907C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3AE2086C" w14:textId="340DB98E" w:rsidR="00D907C8" w:rsidRPr="00CC7DCC" w:rsidRDefault="00680660" w:rsidP="00D907C8">
      <w:pPr>
        <w:rPr>
          <w:rFonts w:ascii="Arial" w:eastAsia="Times New Roman" w:hAnsi="Arial" w:cs="Arial"/>
          <w:color w:val="FF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color w:val="000000" w:themeColor="text1"/>
          <w:sz w:val="20"/>
          <w:szCs w:val="20"/>
        </w:rPr>
        <w:t>Zh</w:t>
      </w:r>
      <w:r w:rsidR="00CC7DCC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ang,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="00D907C8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., </w:t>
      </w:r>
      <w:bookmarkEnd w:id="0"/>
      <w:r w:rsidR="00D907C8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>et al. “</w:t>
      </w:r>
      <w:r w:rsidR="00CC7DCC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Diverse lignocellulosic feedstocks can achieve high field-scale ethanol yields while providing flexibility for the </w:t>
      </w:r>
      <w:proofErr w:type="spellStart"/>
      <w:r w:rsidR="00CC7DCC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>biorefinery</w:t>
      </w:r>
      <w:proofErr w:type="spellEnd"/>
      <w:r w:rsidR="00CC7DCC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landscape-level environmental benefits</w:t>
      </w:r>
      <w:r w:rsidR="00D907C8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.” </w:t>
      </w:r>
      <w:r w:rsidR="00CC7DCC" w:rsidRPr="00CC7DCC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GCB </w:t>
      </w:r>
      <w:r w:rsidR="00CC7DCC" w:rsidRPr="00277933">
        <w:rPr>
          <w:rFonts w:ascii="Arial" w:eastAsia="Times New Roman" w:hAnsi="Arial" w:cs="Arial"/>
          <w:i/>
          <w:color w:val="000000" w:themeColor="text1"/>
          <w:sz w:val="20"/>
          <w:szCs w:val="20"/>
        </w:rPr>
        <w:t>Bioenergy</w:t>
      </w:r>
      <w:r w:rsidR="00D907C8" w:rsidRPr="00277933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  <w:r w:rsidR="00277933" w:rsidRPr="00277933">
        <w:rPr>
          <w:rFonts w:ascii="Arial" w:eastAsia="Times New Roman" w:hAnsi="Arial" w:cs="Arial"/>
          <w:color w:val="000000" w:themeColor="text1"/>
          <w:sz w:val="20"/>
          <w:szCs w:val="20"/>
        </w:rPr>
        <w:t>2018</w:t>
      </w:r>
      <w:r w:rsidR="00D907C8" w:rsidRPr="0027793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D907C8" w:rsidRPr="00CC7DCC">
        <w:rPr>
          <w:rFonts w:ascii="Arial" w:eastAsia="Times New Roman" w:hAnsi="Arial" w:cs="Arial"/>
          <w:color w:val="000000" w:themeColor="text1"/>
          <w:sz w:val="20"/>
          <w:szCs w:val="20"/>
        </w:rPr>
        <w:t>DOI:</w:t>
      </w:r>
      <w:r w:rsidR="00CC7DCC" w:rsidRPr="00CC7DCC">
        <w:rPr>
          <w:rFonts w:ascii="Arial" w:hAnsi="Arial" w:cs="Arial"/>
          <w:color w:val="000000" w:themeColor="text1"/>
          <w:sz w:val="20"/>
          <w:szCs w:val="20"/>
        </w:rPr>
        <w:t xml:space="preserve"> 10.1111</w:t>
      </w:r>
      <w:r w:rsidR="00CC7DCC" w:rsidRPr="00CC7DCC">
        <w:rPr>
          <w:rFonts w:ascii="Arial" w:hAnsi="Arial" w:cs="Arial"/>
          <w:sz w:val="20"/>
          <w:szCs w:val="20"/>
        </w:rPr>
        <w:t>/gcbb.12533</w:t>
      </w:r>
    </w:p>
    <w:p w14:paraId="5555B73F" w14:textId="04FB61C2" w:rsidR="007B274B" w:rsidRPr="00D907C8" w:rsidRDefault="007B274B" w:rsidP="00D907C8">
      <w:pPr>
        <w:rPr>
          <w:rFonts w:ascii="Arial" w:eastAsia="Times New Roman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42321831" w14:textId="5C4DD5C3" w:rsidR="00277933" w:rsidRDefault="00BF1B07" w:rsidP="0026738D">
      <w:pPr>
        <w:spacing w:after="120"/>
        <w:rPr>
          <w:rStyle w:val="Hyperlink"/>
          <w:rFonts w:ascii="Arial" w:eastAsia="Times New Roman" w:hAnsi="Arial" w:cs="Arial"/>
          <w:color w:val="FF0000"/>
          <w:sz w:val="20"/>
          <w:szCs w:val="20"/>
        </w:rPr>
      </w:pPr>
      <w:hyperlink r:id="rId13" w:history="1">
        <w:r w:rsidR="00277933" w:rsidRPr="00D64ED5">
          <w:rPr>
            <w:rStyle w:val="Hyperlink"/>
            <w:rFonts w:ascii="Arial" w:eastAsia="Times New Roman" w:hAnsi="Arial" w:cs="Arial"/>
            <w:sz w:val="20"/>
            <w:szCs w:val="20"/>
          </w:rPr>
          <w:t>https://onlinelibrary.wiley.com/doi/abs/10.1111/gcbb.12533</w:t>
        </w:r>
      </w:hyperlink>
    </w:p>
    <w:p w14:paraId="5555B742" w14:textId="6E2CA7E6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5555B743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5555B744" w14:textId="77777777" w:rsidR="0026738D" w:rsidRDefault="0026738D" w:rsidP="0026738D">
      <w:pPr>
        <w:spacing w:after="120"/>
      </w:pPr>
    </w:p>
    <w:p w14:paraId="5555B763" w14:textId="77777777" w:rsidR="008C0CBD" w:rsidRDefault="008C0CBD" w:rsidP="008C0CBD"/>
    <w:p w14:paraId="5555B764" w14:textId="77777777" w:rsidR="008C0CBD" w:rsidRPr="00733489" w:rsidRDefault="008C0CBD" w:rsidP="00733489">
      <w:pPr>
        <w:tabs>
          <w:tab w:val="left" w:pos="7227"/>
        </w:tabs>
      </w:pPr>
    </w:p>
    <w:p w14:paraId="5555B765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71320" w14:textId="77777777" w:rsidR="00BF1B07" w:rsidRDefault="00BF1B07" w:rsidP="000B4810">
      <w:pPr>
        <w:spacing w:after="0" w:line="240" w:lineRule="auto"/>
      </w:pPr>
      <w:r>
        <w:separator/>
      </w:r>
    </w:p>
  </w:endnote>
  <w:endnote w:type="continuationSeparator" w:id="0">
    <w:p w14:paraId="515F7565" w14:textId="77777777" w:rsidR="00BF1B07" w:rsidRDefault="00BF1B07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5B87" w14:textId="77777777" w:rsidR="00BF1B07" w:rsidRDefault="00BF1B07" w:rsidP="000B4810">
      <w:pPr>
        <w:spacing w:after="0" w:line="240" w:lineRule="auto"/>
      </w:pPr>
      <w:r>
        <w:separator/>
      </w:r>
    </w:p>
  </w:footnote>
  <w:footnote w:type="continuationSeparator" w:id="0">
    <w:p w14:paraId="572F15CA" w14:textId="77777777" w:rsidR="00BF1B07" w:rsidRDefault="00BF1B07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555B76A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5555B76B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 w:rsidR="001A2CBE">
      <w:rPr>
        <w:color w:val="FFFFFF" w:themeColor="background1"/>
        <w:sz w:val="20"/>
      </w:rPr>
      <w:t>23 Nov</w:t>
    </w:r>
    <w:r w:rsidR="00EE4DB6">
      <w:rPr>
        <w:color w:val="FFFFFF" w:themeColor="background1"/>
        <w:sz w:val="20"/>
      </w:rPr>
      <w:t xml:space="preserve"> 201</w:t>
    </w:r>
    <w:r w:rsidR="00247EA0">
      <w:rPr>
        <w:color w:val="FFFFFF" w:themeColor="background1"/>
        <w:sz w:val="2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E"/>
    <w:rsid w:val="00015CE8"/>
    <w:rsid w:val="000A2A3C"/>
    <w:rsid w:val="000B4810"/>
    <w:rsid w:val="000B484E"/>
    <w:rsid w:val="000C0724"/>
    <w:rsid w:val="000C0BC5"/>
    <w:rsid w:val="000D498A"/>
    <w:rsid w:val="000F6F58"/>
    <w:rsid w:val="0011329C"/>
    <w:rsid w:val="00136149"/>
    <w:rsid w:val="001658A3"/>
    <w:rsid w:val="00175E67"/>
    <w:rsid w:val="00192A66"/>
    <w:rsid w:val="001A2CBE"/>
    <w:rsid w:val="001A746A"/>
    <w:rsid w:val="001C4A2E"/>
    <w:rsid w:val="001D66F0"/>
    <w:rsid w:val="001F5864"/>
    <w:rsid w:val="00211CC7"/>
    <w:rsid w:val="00211E2D"/>
    <w:rsid w:val="0021623B"/>
    <w:rsid w:val="00233DC8"/>
    <w:rsid w:val="00247EA0"/>
    <w:rsid w:val="0025292F"/>
    <w:rsid w:val="0025497A"/>
    <w:rsid w:val="00257E2C"/>
    <w:rsid w:val="0026738D"/>
    <w:rsid w:val="00277933"/>
    <w:rsid w:val="00290B1F"/>
    <w:rsid w:val="002A79E7"/>
    <w:rsid w:val="002D5D75"/>
    <w:rsid w:val="002E42A2"/>
    <w:rsid w:val="002F4414"/>
    <w:rsid w:val="002F4910"/>
    <w:rsid w:val="002F5B5E"/>
    <w:rsid w:val="00322A4F"/>
    <w:rsid w:val="003347F7"/>
    <w:rsid w:val="00337F48"/>
    <w:rsid w:val="00355F66"/>
    <w:rsid w:val="00376465"/>
    <w:rsid w:val="00383BB6"/>
    <w:rsid w:val="003900C3"/>
    <w:rsid w:val="00390405"/>
    <w:rsid w:val="00405A31"/>
    <w:rsid w:val="0042647A"/>
    <w:rsid w:val="00430D48"/>
    <w:rsid w:val="00451D95"/>
    <w:rsid w:val="00460150"/>
    <w:rsid w:val="004919C4"/>
    <w:rsid w:val="004A3FA5"/>
    <w:rsid w:val="004F42BF"/>
    <w:rsid w:val="00500309"/>
    <w:rsid w:val="00500BB6"/>
    <w:rsid w:val="0050608F"/>
    <w:rsid w:val="005332DD"/>
    <w:rsid w:val="00535DFF"/>
    <w:rsid w:val="00571E7D"/>
    <w:rsid w:val="005819FC"/>
    <w:rsid w:val="00593254"/>
    <w:rsid w:val="005B6E66"/>
    <w:rsid w:val="005C4E24"/>
    <w:rsid w:val="005E2DC4"/>
    <w:rsid w:val="005F7FC7"/>
    <w:rsid w:val="0062337D"/>
    <w:rsid w:val="0062442A"/>
    <w:rsid w:val="00636AC8"/>
    <w:rsid w:val="00636FEB"/>
    <w:rsid w:val="00641172"/>
    <w:rsid w:val="00646A02"/>
    <w:rsid w:val="006542B3"/>
    <w:rsid w:val="00662FAF"/>
    <w:rsid w:val="00673449"/>
    <w:rsid w:val="00680660"/>
    <w:rsid w:val="0068372E"/>
    <w:rsid w:val="00696A64"/>
    <w:rsid w:val="006A2743"/>
    <w:rsid w:val="006C40E1"/>
    <w:rsid w:val="006C6B37"/>
    <w:rsid w:val="006D4699"/>
    <w:rsid w:val="006D7D57"/>
    <w:rsid w:val="006F7D7C"/>
    <w:rsid w:val="00711982"/>
    <w:rsid w:val="00716D69"/>
    <w:rsid w:val="00733489"/>
    <w:rsid w:val="007432D1"/>
    <w:rsid w:val="00745A65"/>
    <w:rsid w:val="0074746D"/>
    <w:rsid w:val="007613CC"/>
    <w:rsid w:val="007B274B"/>
    <w:rsid w:val="007B53AA"/>
    <w:rsid w:val="007C2943"/>
    <w:rsid w:val="007C52C5"/>
    <w:rsid w:val="00801572"/>
    <w:rsid w:val="00802871"/>
    <w:rsid w:val="0082296E"/>
    <w:rsid w:val="00825983"/>
    <w:rsid w:val="00826949"/>
    <w:rsid w:val="008332B6"/>
    <w:rsid w:val="00843576"/>
    <w:rsid w:val="008508EC"/>
    <w:rsid w:val="00850A3D"/>
    <w:rsid w:val="008670F6"/>
    <w:rsid w:val="00873AC2"/>
    <w:rsid w:val="00874C5E"/>
    <w:rsid w:val="008B7C10"/>
    <w:rsid w:val="008C0CBD"/>
    <w:rsid w:val="008C23B0"/>
    <w:rsid w:val="008D4B8D"/>
    <w:rsid w:val="008E6D5B"/>
    <w:rsid w:val="00902C20"/>
    <w:rsid w:val="00916057"/>
    <w:rsid w:val="00922AA0"/>
    <w:rsid w:val="0099046E"/>
    <w:rsid w:val="00996F03"/>
    <w:rsid w:val="009A66FB"/>
    <w:rsid w:val="009D581F"/>
    <w:rsid w:val="009D766D"/>
    <w:rsid w:val="009F18B7"/>
    <w:rsid w:val="009F61EB"/>
    <w:rsid w:val="00A11F18"/>
    <w:rsid w:val="00A35641"/>
    <w:rsid w:val="00A5359A"/>
    <w:rsid w:val="00AC1125"/>
    <w:rsid w:val="00AE7790"/>
    <w:rsid w:val="00B0501A"/>
    <w:rsid w:val="00B15D9A"/>
    <w:rsid w:val="00B217FC"/>
    <w:rsid w:val="00B4143F"/>
    <w:rsid w:val="00B41B01"/>
    <w:rsid w:val="00B51E8D"/>
    <w:rsid w:val="00B62030"/>
    <w:rsid w:val="00B81046"/>
    <w:rsid w:val="00BB7E2C"/>
    <w:rsid w:val="00BC2B08"/>
    <w:rsid w:val="00BC4DCE"/>
    <w:rsid w:val="00BD2EE7"/>
    <w:rsid w:val="00BD4E92"/>
    <w:rsid w:val="00BF1B07"/>
    <w:rsid w:val="00C01A10"/>
    <w:rsid w:val="00C0274B"/>
    <w:rsid w:val="00C02CCD"/>
    <w:rsid w:val="00C32F99"/>
    <w:rsid w:val="00C525E6"/>
    <w:rsid w:val="00C57577"/>
    <w:rsid w:val="00C702C6"/>
    <w:rsid w:val="00C74919"/>
    <w:rsid w:val="00C87C37"/>
    <w:rsid w:val="00C93BC1"/>
    <w:rsid w:val="00CA6820"/>
    <w:rsid w:val="00CA6970"/>
    <w:rsid w:val="00CA72ED"/>
    <w:rsid w:val="00CB4C43"/>
    <w:rsid w:val="00CC7DCC"/>
    <w:rsid w:val="00CE3421"/>
    <w:rsid w:val="00CF481A"/>
    <w:rsid w:val="00D3194B"/>
    <w:rsid w:val="00D36E52"/>
    <w:rsid w:val="00D43043"/>
    <w:rsid w:val="00D5500E"/>
    <w:rsid w:val="00D6358C"/>
    <w:rsid w:val="00D644E2"/>
    <w:rsid w:val="00D907C8"/>
    <w:rsid w:val="00DB6B14"/>
    <w:rsid w:val="00DF251B"/>
    <w:rsid w:val="00DF7205"/>
    <w:rsid w:val="00E02D4F"/>
    <w:rsid w:val="00E0430B"/>
    <w:rsid w:val="00E0604F"/>
    <w:rsid w:val="00E31609"/>
    <w:rsid w:val="00E777FB"/>
    <w:rsid w:val="00E94218"/>
    <w:rsid w:val="00EE05AE"/>
    <w:rsid w:val="00EE4DB6"/>
    <w:rsid w:val="00F01731"/>
    <w:rsid w:val="00F153E6"/>
    <w:rsid w:val="00F241D6"/>
    <w:rsid w:val="00F51661"/>
    <w:rsid w:val="00FA38A3"/>
    <w:rsid w:val="00FC7477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5B72D"/>
  <w15:docId w15:val="{91EEC4D1-1301-43DA-AAE9-B03B8FE3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8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A1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rsid w:val="0027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mailto:rgong1@mtu.edu" TargetMode="External"/><Relationship Id="rId13" Type="http://schemas.openxmlformats.org/officeDocument/2006/relationships/hyperlink" Target="https://onlinelibrary.wiley.com/doi/abs/10.1111/gcbb.12533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72427" w:rsidRDefault="00672427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672427" w:rsidRDefault="00672427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27"/>
    <w:rsid w:val="0021613E"/>
    <w:rsid w:val="00264609"/>
    <w:rsid w:val="00310C03"/>
    <w:rsid w:val="00342322"/>
    <w:rsid w:val="00344526"/>
    <w:rsid w:val="00553C93"/>
    <w:rsid w:val="00581E21"/>
    <w:rsid w:val="006562D9"/>
    <w:rsid w:val="00672427"/>
    <w:rsid w:val="00B27ACB"/>
    <w:rsid w:val="00BB08F0"/>
    <w:rsid w:val="00D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HUBDOC-169-517</_dlc_DocId>
    <_dlc_DocIdUrl xmlns="f66da2ca-f37c-4205-929f-e8e9af1907d3">
      <Url>https://intranet.wei.wisc.edu/glbrc/doe/_layouts/15/DocIdRedir.aspx?ID=HUBDOC-169-517</Url>
      <Description>HUBDOC-169-517</Description>
    </_dlc_DocIdUrl>
  </documentManagement>
</p:properties>
</file>

<file path=customXml/itemProps1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561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Matthew Wisniewski</cp:lastModifiedBy>
  <cp:revision>8</cp:revision>
  <dcterms:created xsi:type="dcterms:W3CDTF">2018-07-19T16:09:00Z</dcterms:created>
  <dcterms:modified xsi:type="dcterms:W3CDTF">2018-07-27T18:25:00Z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2fbb3c85-368c-415e-9dc6-a03a4ab3ac7b</vt:lpwstr>
  </property>
</Properties>
</file>