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A80893" w14:textId="42B16E91" w:rsidR="0098299F" w:rsidRPr="00782185" w:rsidRDefault="00782185" w:rsidP="0098299F">
      <w:pPr>
        <w:rPr>
          <w:rFonts w:ascii="Calibri" w:eastAsiaTheme="minorHAnsi" w:hAnsi="Calibri" w:cs="AdvOTb65e897d.B"/>
          <w:b/>
          <w:szCs w:val="22"/>
        </w:rPr>
      </w:pPr>
      <w:r>
        <w:rPr>
          <w:rFonts w:ascii="Calibri" w:eastAsiaTheme="minorHAnsi" w:hAnsi="Calibri" w:cs="AdvOTb65e897d.B"/>
          <w:b/>
          <w:szCs w:val="22"/>
        </w:rPr>
        <w:t>2015 Great Lakes Bioenergy Research Center Sustainability Retreat</w:t>
      </w:r>
      <w:r w:rsidR="00B81A88">
        <w:rPr>
          <w:rFonts w:ascii="Calibri" w:eastAsiaTheme="minorHAnsi" w:hAnsi="Calibri" w:cs="AdvOTb65e897d.B"/>
          <w:b/>
          <w:szCs w:val="22"/>
        </w:rPr>
        <w:t xml:space="preserve"> – “Moving Forward”</w:t>
      </w:r>
    </w:p>
    <w:p w14:paraId="6D46F86F" w14:textId="2E10EEA1" w:rsidR="00782185" w:rsidRPr="00471783" w:rsidRDefault="00782185" w:rsidP="00471783">
      <w:pPr>
        <w:rPr>
          <w:rFonts w:ascii="Calibri" w:hAnsi="Calibri"/>
        </w:rPr>
      </w:pPr>
      <w:r w:rsidRPr="00471783">
        <w:rPr>
          <w:rFonts w:ascii="Calibri" w:hAnsi="Calibri"/>
        </w:rPr>
        <w:t>The goal of the Sustainability Retreat is to provide a platfor</w:t>
      </w:r>
      <w:r w:rsidR="000C2AEF">
        <w:rPr>
          <w:rFonts w:ascii="Calibri" w:hAnsi="Calibri"/>
        </w:rPr>
        <w:t>m for all GLBRC Sustainability r</w:t>
      </w:r>
      <w:r w:rsidRPr="00471783">
        <w:rPr>
          <w:rFonts w:ascii="Calibri" w:hAnsi="Calibri"/>
        </w:rPr>
        <w:t>esearchers to update their colleagues on specific advances made in the last year and to provide a time and space for developing strategies and coordination of efforts between groups a</w:t>
      </w:r>
      <w:r w:rsidR="002D02CF">
        <w:rPr>
          <w:rFonts w:ascii="Calibri" w:hAnsi="Calibri"/>
        </w:rPr>
        <w:t xml:space="preserve">cross various GLBRC </w:t>
      </w:r>
      <w:r w:rsidR="000C2AEF">
        <w:rPr>
          <w:rFonts w:ascii="Calibri" w:hAnsi="Calibri"/>
        </w:rPr>
        <w:t>research site</w:t>
      </w:r>
      <w:r w:rsidR="002D02CF">
        <w:rPr>
          <w:rFonts w:ascii="Calibri" w:hAnsi="Calibri"/>
        </w:rPr>
        <w:t xml:space="preserve">s. </w:t>
      </w:r>
      <w:r w:rsidRPr="00471783">
        <w:rPr>
          <w:rFonts w:ascii="Calibri" w:hAnsi="Calibri"/>
        </w:rPr>
        <w:t xml:space="preserve">The timing is of special importance as the retreat takes place well in advance of field season, allowing researchers enough time to plan and coordinate their experiments appropriately so </w:t>
      </w:r>
      <w:r w:rsidR="000C2AEF">
        <w:rPr>
          <w:rFonts w:ascii="Calibri" w:hAnsi="Calibri"/>
        </w:rPr>
        <w:t xml:space="preserve">that </w:t>
      </w:r>
      <w:r w:rsidRPr="00471783">
        <w:rPr>
          <w:rFonts w:ascii="Calibri" w:hAnsi="Calibri"/>
        </w:rPr>
        <w:t xml:space="preserve">data gathered </w:t>
      </w:r>
      <w:r w:rsidR="000C2AEF">
        <w:rPr>
          <w:rFonts w:ascii="Calibri" w:hAnsi="Calibri"/>
        </w:rPr>
        <w:t xml:space="preserve">is </w:t>
      </w:r>
      <w:r w:rsidRPr="00471783">
        <w:rPr>
          <w:rFonts w:ascii="Calibri" w:hAnsi="Calibri"/>
        </w:rPr>
        <w:t>robust and useful for the economic and environmental models used within the Sustainability group.</w:t>
      </w:r>
      <w:r w:rsidR="002D02CF">
        <w:rPr>
          <w:rFonts w:ascii="Calibri" w:hAnsi="Calibri"/>
        </w:rPr>
        <w:t xml:space="preserve"> </w:t>
      </w:r>
      <w:r w:rsidR="00471783">
        <w:rPr>
          <w:rFonts w:ascii="Calibri" w:hAnsi="Calibri"/>
        </w:rPr>
        <w:t>Two years ago</w:t>
      </w:r>
      <w:r w:rsidRPr="00471783">
        <w:rPr>
          <w:rFonts w:ascii="Calibri" w:hAnsi="Calibri"/>
        </w:rPr>
        <w:t xml:space="preserve">, the retreat goal was to identify synthetic manuscripts highlighting </w:t>
      </w:r>
      <w:r w:rsidR="000C2AEF">
        <w:rPr>
          <w:rFonts w:ascii="Calibri" w:hAnsi="Calibri"/>
        </w:rPr>
        <w:t>lessons learned from the first five</w:t>
      </w:r>
      <w:r w:rsidRPr="00471783">
        <w:rPr>
          <w:rFonts w:ascii="Calibri" w:hAnsi="Calibri"/>
        </w:rPr>
        <w:t xml:space="preserve"> years of Sustainability </w:t>
      </w:r>
      <w:r w:rsidR="000C2AEF">
        <w:rPr>
          <w:rFonts w:ascii="Calibri" w:hAnsi="Calibri"/>
        </w:rPr>
        <w:t>research</w:t>
      </w:r>
      <w:r w:rsidR="00471783">
        <w:rPr>
          <w:rFonts w:ascii="Calibri" w:hAnsi="Calibri"/>
        </w:rPr>
        <w:t>, also known as the “establishment phase”</w:t>
      </w:r>
      <w:r w:rsidR="002D02CF">
        <w:rPr>
          <w:rFonts w:ascii="Calibri" w:hAnsi="Calibri"/>
        </w:rPr>
        <w:t>.</w:t>
      </w:r>
      <w:r w:rsidRPr="00471783">
        <w:rPr>
          <w:rFonts w:ascii="Calibri" w:hAnsi="Calibri"/>
        </w:rPr>
        <w:t xml:space="preserve"> Researchers were provided a timeline for producing foundational (e.g., post-establishment yields in intensive plots, summary of biogeochemical cycling in intensive plots, etc</w:t>
      </w:r>
      <w:r w:rsidR="00AF64AA">
        <w:rPr>
          <w:rFonts w:ascii="Calibri" w:hAnsi="Calibri"/>
        </w:rPr>
        <w:t>.</w:t>
      </w:r>
      <w:r w:rsidRPr="00471783">
        <w:rPr>
          <w:rFonts w:ascii="Calibri" w:hAnsi="Calibri"/>
        </w:rPr>
        <w:t>), project-level synthesis papers (e.g., the biodiversity team recently worked on synthetizing information learned from investigating the role of bioenergy cr</w:t>
      </w:r>
      <w:r w:rsidR="00471783">
        <w:rPr>
          <w:rFonts w:ascii="Calibri" w:hAnsi="Calibri"/>
        </w:rPr>
        <w:t>ops on plant, insect, microbial</w:t>
      </w:r>
      <w:r w:rsidRPr="00471783">
        <w:rPr>
          <w:rFonts w:ascii="Calibri" w:hAnsi="Calibri"/>
        </w:rPr>
        <w:t>, and bird diversity and the ecosystem services resulting from each cropping system), cross-project synthesis (e.g., linking biodiversity services and economic outp</w:t>
      </w:r>
      <w:r w:rsidR="00AF3EBB">
        <w:rPr>
          <w:rFonts w:ascii="Calibri" w:hAnsi="Calibri"/>
        </w:rPr>
        <w:t>uts), and finally, s</w:t>
      </w:r>
      <w:r w:rsidRPr="00471783">
        <w:rPr>
          <w:rFonts w:ascii="Calibri" w:hAnsi="Calibri"/>
        </w:rPr>
        <w:t xml:space="preserve">ustainability-wide synthesis.  </w:t>
      </w:r>
      <w:r w:rsidR="00471783">
        <w:rPr>
          <w:rFonts w:ascii="Calibri" w:hAnsi="Calibri"/>
        </w:rPr>
        <w:t xml:space="preserve">Last year, retreat </w:t>
      </w:r>
      <w:r w:rsidR="00D11D91">
        <w:rPr>
          <w:rFonts w:ascii="Calibri" w:hAnsi="Calibri"/>
        </w:rPr>
        <w:t xml:space="preserve">organization </w:t>
      </w:r>
      <w:r w:rsidR="00471783" w:rsidRPr="00AF64AA">
        <w:rPr>
          <w:rFonts w:ascii="Calibri" w:hAnsi="Calibri"/>
        </w:rPr>
        <w:t xml:space="preserve">changed significantly to include updates on these synthesis topics (as opposed to focusing </w:t>
      </w:r>
      <w:r w:rsidR="00AF64AA">
        <w:rPr>
          <w:rFonts w:ascii="Calibri" w:hAnsi="Calibri"/>
        </w:rPr>
        <w:t>on spe</w:t>
      </w:r>
      <w:r w:rsidR="008E012D">
        <w:rPr>
          <w:rFonts w:ascii="Calibri" w:hAnsi="Calibri"/>
        </w:rPr>
        <w:t>cific project research), and a</w:t>
      </w:r>
      <w:r w:rsidR="00AF64AA">
        <w:rPr>
          <w:rFonts w:ascii="Calibri" w:hAnsi="Calibri"/>
        </w:rPr>
        <w:t xml:space="preserve"> first set of synthesis updates was provided.  These </w:t>
      </w:r>
      <w:r w:rsidR="005D744B">
        <w:rPr>
          <w:rFonts w:ascii="Calibri" w:hAnsi="Calibri"/>
        </w:rPr>
        <w:t xml:space="preserve">updates </w:t>
      </w:r>
      <w:r w:rsidR="00AF64AA">
        <w:rPr>
          <w:rFonts w:ascii="Calibri" w:hAnsi="Calibri"/>
        </w:rPr>
        <w:t>included</w:t>
      </w:r>
      <w:r w:rsidR="00AB631E">
        <w:rPr>
          <w:rFonts w:ascii="Calibri" w:hAnsi="Calibri"/>
        </w:rPr>
        <w:t xml:space="preserve"> RIMA analysis of marginal lands, a biodiversity synthesis paper, N</w:t>
      </w:r>
      <w:r w:rsidR="00AB631E" w:rsidRPr="00AB631E">
        <w:rPr>
          <w:rFonts w:ascii="Calibri" w:hAnsi="Calibri"/>
          <w:vertAlign w:val="subscript"/>
        </w:rPr>
        <w:t>2</w:t>
      </w:r>
      <w:r w:rsidR="00AB631E">
        <w:rPr>
          <w:rFonts w:ascii="Calibri" w:hAnsi="Calibri"/>
        </w:rPr>
        <w:t xml:space="preserve">O emissions during establishment phase, and farm supply response. This year, the topics included evapotranspiration and water use efficiency, regional biomass supply chain modeling, cover crop </w:t>
      </w:r>
      <w:proofErr w:type="spellStart"/>
      <w:r w:rsidR="00AB631E">
        <w:rPr>
          <w:rFonts w:ascii="Calibri" w:hAnsi="Calibri"/>
        </w:rPr>
        <w:t>biocontrol</w:t>
      </w:r>
      <w:proofErr w:type="spellEnd"/>
      <w:r w:rsidR="00AB631E">
        <w:rPr>
          <w:rFonts w:ascii="Calibri" w:hAnsi="Calibri"/>
        </w:rPr>
        <w:t xml:space="preserve"> effects, and economic opportuniti</w:t>
      </w:r>
      <w:r w:rsidR="002D02CF">
        <w:rPr>
          <w:rFonts w:ascii="Calibri" w:hAnsi="Calibri"/>
        </w:rPr>
        <w:t>es for energy biomass products.</w:t>
      </w:r>
      <w:r w:rsidR="00AB631E">
        <w:rPr>
          <w:rFonts w:ascii="Calibri" w:hAnsi="Calibri"/>
        </w:rPr>
        <w:t xml:space="preserve"> All these synthesis updates are the result of collaborative efforts among the various projects within the Sustainability research </w:t>
      </w:r>
      <w:r w:rsidR="002D02CF">
        <w:rPr>
          <w:rFonts w:ascii="Calibri" w:hAnsi="Calibri"/>
        </w:rPr>
        <w:t>area.</w:t>
      </w:r>
      <w:r w:rsidR="00AB631E">
        <w:rPr>
          <w:rFonts w:ascii="Calibri" w:hAnsi="Calibri"/>
        </w:rPr>
        <w:t xml:space="preserve"> Concurrent sessions this year included zip-lignin poplar work, </w:t>
      </w:r>
      <w:proofErr w:type="spellStart"/>
      <w:r w:rsidR="00AB631E">
        <w:rPr>
          <w:rFonts w:ascii="Calibri" w:hAnsi="Calibri"/>
        </w:rPr>
        <w:t>biorefinery</w:t>
      </w:r>
      <w:proofErr w:type="spellEnd"/>
      <w:r w:rsidR="00AB631E">
        <w:rPr>
          <w:rFonts w:ascii="Calibri" w:hAnsi="Calibri"/>
        </w:rPr>
        <w:t>-modeling scenarios, education &amp; outreach, likelihood of GMO crops and their sustainability implications, linking microbes to N budget, and poten</w:t>
      </w:r>
      <w:r w:rsidR="002D02CF">
        <w:rPr>
          <w:rFonts w:ascii="Calibri" w:hAnsi="Calibri"/>
        </w:rPr>
        <w:t xml:space="preserve">tial collaborations. </w:t>
      </w:r>
      <w:r w:rsidR="00AB631E">
        <w:rPr>
          <w:rFonts w:ascii="Calibri" w:hAnsi="Calibri"/>
        </w:rPr>
        <w:t xml:space="preserve">The plenary speaker for the retreat was Gerard </w:t>
      </w:r>
      <w:proofErr w:type="spellStart"/>
      <w:r w:rsidR="00AB631E">
        <w:rPr>
          <w:rFonts w:ascii="Calibri" w:hAnsi="Calibri"/>
        </w:rPr>
        <w:t>Ostheimer</w:t>
      </w:r>
      <w:proofErr w:type="spellEnd"/>
      <w:r w:rsidR="00AB631E">
        <w:rPr>
          <w:rFonts w:ascii="Calibri" w:hAnsi="Calibri"/>
        </w:rPr>
        <w:t xml:space="preserve">, </w:t>
      </w:r>
      <w:r w:rsidR="002D02CF" w:rsidRPr="00AB631E">
        <w:rPr>
          <w:rFonts w:ascii="Calibri" w:hAnsi="Calibri"/>
        </w:rPr>
        <w:t>Sustainability Bioenergy Lead at the UN Sustainable Energy for All Program</w:t>
      </w:r>
      <w:r w:rsidR="00AB631E" w:rsidRPr="009A4C56">
        <w:rPr>
          <w:rFonts w:ascii="Calibri" w:hAnsi="Calibri"/>
        </w:rPr>
        <w:t>.</w:t>
      </w:r>
      <w:r w:rsidR="002D02CF">
        <w:rPr>
          <w:rFonts w:ascii="Calibri" w:hAnsi="Calibri"/>
        </w:rPr>
        <w:t xml:space="preserve"> </w:t>
      </w:r>
      <w:r w:rsidRPr="00471783">
        <w:rPr>
          <w:rFonts w:ascii="Calibri" w:hAnsi="Calibri"/>
        </w:rPr>
        <w:t>Other goals include integration with other Center research areas a</w:t>
      </w:r>
      <w:r w:rsidR="001147A1">
        <w:rPr>
          <w:rFonts w:ascii="Calibri" w:hAnsi="Calibri"/>
        </w:rPr>
        <w:t>nd area-wide planning for the rest of year 8, as well as initial stages of proposal preparation for year 9 and beyond.</w:t>
      </w:r>
      <w:bookmarkStart w:id="0" w:name="_GoBack"/>
      <w:bookmarkEnd w:id="0"/>
    </w:p>
    <w:p w14:paraId="248D5833" w14:textId="7CF3E567" w:rsidR="008119FF" w:rsidRPr="0089781E" w:rsidRDefault="008119FF" w:rsidP="0089781E">
      <w:pPr>
        <w:rPr>
          <w:rFonts w:asciiTheme="minorHAnsi" w:hAnsiTheme="minorHAnsi"/>
          <w:szCs w:val="22"/>
        </w:rPr>
      </w:pPr>
      <w:r w:rsidRPr="0089781E">
        <w:rPr>
          <w:rFonts w:asciiTheme="minorHAnsi" w:hAnsiTheme="minorHAnsi"/>
          <w:b/>
          <w:szCs w:val="22"/>
        </w:rPr>
        <w:t>References:</w:t>
      </w:r>
      <w:r w:rsidR="0089781E" w:rsidRPr="0089781E">
        <w:rPr>
          <w:rFonts w:asciiTheme="minorHAnsi" w:hAnsiTheme="minorHAnsi"/>
          <w:szCs w:val="22"/>
        </w:rPr>
        <w:t xml:space="preserve"> </w:t>
      </w:r>
      <w:r w:rsidR="00471783">
        <w:rPr>
          <w:rFonts w:asciiTheme="minorHAnsi" w:hAnsiTheme="minorHAnsi"/>
          <w:szCs w:val="22"/>
        </w:rPr>
        <w:t>N/A.</w:t>
      </w:r>
    </w:p>
    <w:p w14:paraId="5D7D73E4" w14:textId="77777777" w:rsidR="008119FF" w:rsidRPr="0089781E" w:rsidRDefault="008119FF" w:rsidP="008119FF">
      <w:pPr>
        <w:tabs>
          <w:tab w:val="left" w:pos="360"/>
        </w:tabs>
        <w:spacing w:after="0" w:line="300" w:lineRule="exact"/>
        <w:rPr>
          <w:rFonts w:asciiTheme="minorHAnsi" w:hAnsiTheme="minorHAnsi"/>
          <w:szCs w:val="22"/>
        </w:rPr>
      </w:pPr>
      <w:r w:rsidRPr="0089781E">
        <w:rPr>
          <w:rFonts w:asciiTheme="minorHAnsi" w:hAnsiTheme="minorHAnsi"/>
          <w:b/>
          <w:szCs w:val="22"/>
        </w:rPr>
        <w:t>Contact</w:t>
      </w:r>
      <w:r w:rsidRPr="0089781E">
        <w:rPr>
          <w:rFonts w:asciiTheme="minorHAnsi" w:hAnsiTheme="minorHAnsi"/>
          <w:szCs w:val="22"/>
        </w:rPr>
        <w:t>: Dr. N. Kent Peters, SC-23.2, (301) 903-5549</w:t>
      </w:r>
    </w:p>
    <w:sectPr w:rsidR="008119FF" w:rsidRPr="008978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dvOTb65e897d.B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138A0"/>
    <w:multiLevelType w:val="hybridMultilevel"/>
    <w:tmpl w:val="47FAAF82"/>
    <w:lvl w:ilvl="0" w:tplc="967EFA3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7C8022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8AA64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0E1FC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124F8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0E84F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DE2AE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320B8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F834D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99F"/>
    <w:rsid w:val="000C2AEF"/>
    <w:rsid w:val="001147A1"/>
    <w:rsid w:val="0011680C"/>
    <w:rsid w:val="001F0E2A"/>
    <w:rsid w:val="002D02CF"/>
    <w:rsid w:val="003F53BF"/>
    <w:rsid w:val="00421D09"/>
    <w:rsid w:val="00471783"/>
    <w:rsid w:val="005105BE"/>
    <w:rsid w:val="005D744B"/>
    <w:rsid w:val="00782185"/>
    <w:rsid w:val="008119FF"/>
    <w:rsid w:val="0089781E"/>
    <w:rsid w:val="008E012D"/>
    <w:rsid w:val="0094060E"/>
    <w:rsid w:val="00971C08"/>
    <w:rsid w:val="0097608C"/>
    <w:rsid w:val="0098299F"/>
    <w:rsid w:val="009A4C56"/>
    <w:rsid w:val="00AB631E"/>
    <w:rsid w:val="00AF3EBB"/>
    <w:rsid w:val="00AF64AA"/>
    <w:rsid w:val="00B6334B"/>
    <w:rsid w:val="00B81A88"/>
    <w:rsid w:val="00BC7A84"/>
    <w:rsid w:val="00CC5EF2"/>
    <w:rsid w:val="00D11D91"/>
    <w:rsid w:val="00D6104B"/>
    <w:rsid w:val="00E33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CC83C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60E"/>
    <w:pPr>
      <w:spacing w:before="100" w:beforeAutospacing="1" w:after="100" w:afterAutospacing="1" w:line="240" w:lineRule="auto"/>
    </w:pPr>
    <w:rPr>
      <w:rFonts w:ascii="Arial" w:eastAsiaTheme="minorEastAsia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31E"/>
    <w:pPr>
      <w:spacing w:before="0" w:beforeAutospacing="0" w:after="0" w:afterAutospacing="0"/>
      <w:ind w:left="720"/>
      <w:contextualSpacing/>
    </w:pPr>
    <w:rPr>
      <w:rFonts w:ascii="Times" w:eastAsiaTheme="minorHAnsi" w:hAnsi="Times" w:cstheme="minorBidi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60E"/>
    <w:pPr>
      <w:spacing w:before="100" w:beforeAutospacing="1" w:after="100" w:afterAutospacing="1" w:line="240" w:lineRule="auto"/>
    </w:pPr>
    <w:rPr>
      <w:rFonts w:ascii="Arial" w:eastAsiaTheme="minorEastAsia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31E"/>
    <w:pPr>
      <w:spacing w:before="0" w:beforeAutospacing="0" w:after="0" w:afterAutospacing="0"/>
      <w:ind w:left="720"/>
      <w:contextualSpacing/>
    </w:pPr>
    <w:rPr>
      <w:rFonts w:ascii="Times" w:eastAsiaTheme="minorHAnsi" w:hAnsi="Times" w:cstheme="min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8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357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831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7064B81CB5A84D8992C1DDBD34D590" ma:contentTypeVersion="0" ma:contentTypeDescription="Create a new document." ma:contentTypeScope="" ma:versionID="6738319440a0d4a8b574b44f29c8374c">
  <xsd:schema xmlns:xsd="http://www.w3.org/2001/XMLSchema" xmlns:xs="http://www.w3.org/2001/XMLSchema" xmlns:p="http://schemas.microsoft.com/office/2006/metadata/properties" xmlns:ns1="http://schemas.microsoft.com/sharepoint/v3" xmlns:ns2="f66da2ca-f37c-4205-929f-e8e9af1907d3" xmlns:ns3="598d3dbc-fa83-42fa-b207-889270677883" targetNamespace="http://schemas.microsoft.com/office/2006/metadata/properties" ma:root="true" ma:fieldsID="6ee46b2ab99f8bb7e069b4b66d7ecdec" ns1:_="" ns2:_="" ns3:_="">
    <xsd:import namespace="http://schemas.microsoft.com/sharepoint/v3"/>
    <xsd:import namespace="f66da2ca-f37c-4205-929f-e8e9af1907d3"/>
    <xsd:import namespace="598d3dbc-fa83-42fa-b207-88927067788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Comments_x002c__x0020_Notes_x002c__x0020_et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6da2ca-f37c-4205-929f-e8e9af1907d3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8627bd82-0569-4858-99f3-d7174152a405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52eabb01-f6f8-4398-a964-66c8658a72c0}" ma:internalName="TaxCatchAll" ma:showField="CatchAllData" ma:web="f66da2ca-f37c-4205-929f-e8e9af1907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8d3dbc-fa83-42fa-b207-889270677883" elementFormDefault="qualified">
    <xsd:import namespace="http://schemas.microsoft.com/office/2006/documentManagement/types"/>
    <xsd:import namespace="http://schemas.microsoft.com/office/infopath/2007/PartnerControls"/>
    <xsd:element name="Comments_x002c__x0020_Notes_x002c__x0020_etc" ma:index="16" nillable="true" ma:displayName="Comments, Notes, etc" ma:internalName="Comments_x002c__x0020_Notes_x002c__x0020_etc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f66da2ca-f37c-4205-929f-e8e9af1907d3">
      <Terms xmlns="http://schemas.microsoft.com/office/infopath/2007/PartnerControls"/>
    </TaxKeywordTaxHTField>
    <TaxCatchAll xmlns="f66da2ca-f37c-4205-929f-e8e9af1907d3"/>
    <Comments_x002c__x0020_Notes_x002c__x0020_etc xmlns="598d3dbc-fa83-42fa-b207-889270677883" xsi:nil="true"/>
    <PublishingExpirationDate xmlns="http://schemas.microsoft.com/sharepoint/v3" xsi:nil="true"/>
    <PublishingStartDate xmlns="http://schemas.microsoft.com/sharepoint/v3" xsi:nil="true"/>
    <_dlc_DocId xmlns="f66da2ca-f37c-4205-929f-e8e9af1907d3">HUBDOC-169-456</_dlc_DocId>
    <_dlc_DocIdUrl xmlns="f66da2ca-f37c-4205-929f-e8e9af1907d3">
      <Url>https://intranet.wei.wisc.edu/glbrc/doe/_layouts/15/DocIdRedir.aspx?ID=HUBDOC-169-456</Url>
      <Description>HUBDOC-169-456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B97CEDB-E27E-4DA1-92F6-228975CE659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510DF2B-7E47-4F01-BC27-13BBC2113D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66da2ca-f37c-4205-929f-e8e9af1907d3"/>
    <ds:schemaRef ds:uri="598d3dbc-fa83-42fa-b207-8892706778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0D88F9B-956F-430F-8D7E-6CB0C9401BCF}">
  <ds:schemaRefs>
    <ds:schemaRef ds:uri="http://schemas.microsoft.com/office/2006/metadata/properties"/>
    <ds:schemaRef ds:uri="http://schemas.microsoft.com/office/infopath/2007/PartnerControls"/>
    <ds:schemaRef ds:uri="f66da2ca-f37c-4205-929f-e8e9af1907d3"/>
    <ds:schemaRef ds:uri="598d3dbc-fa83-42fa-b207-889270677883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9ACD15A5-E508-4E60-95C0-13283056D44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419</Words>
  <Characters>2389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Science</Company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 Kent Peters</dc:creator>
  <cp:lastModifiedBy>Krista</cp:lastModifiedBy>
  <cp:revision>2</cp:revision>
  <dcterms:created xsi:type="dcterms:W3CDTF">2015-02-18T17:19:00Z</dcterms:created>
  <dcterms:modified xsi:type="dcterms:W3CDTF">2015-02-18T17:19:00Z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0x010100247064B81CB5A84D8992C1DDBD34D590</vt:lpwstr>
  </property>
  <property fmtid="{D5CDD505-2E9C-101B-9397-08002B2CF9AE}" pid="3" name="_dlc_DocIdItemGuid">
    <vt:lpwstr>7f0d7df1-cddd-49c4-b541-abf48089249e</vt:lpwstr>
  </property>
  <property fmtid="{D5CDD505-2E9C-101B-9397-08002B2CF9AE}" pid="4" name="TaxKeyword">
    <vt:lpwstr/>
  </property>
</Properties>
</file>