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B72D" w14:textId="2E41C6C2" w:rsidR="007B274B" w:rsidRPr="007B274B" w:rsidRDefault="006304AD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8 February</w:t>
      </w:r>
      <w:r w:rsidR="00872103">
        <w:rPr>
          <w:rFonts w:ascii="Arial" w:eastAsia="Times New Roman" w:hAnsi="Arial" w:cs="Arial"/>
          <w:color w:val="7F7F7F"/>
          <w:sz w:val="20"/>
        </w:rPr>
        <w:t xml:space="preserve"> 2017</w:t>
      </w:r>
    </w:p>
    <w:p w14:paraId="5555B72E" w14:textId="15A37287" w:rsidR="007B274B" w:rsidRPr="007B274B" w:rsidRDefault="00872103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Impact of Harvest Frequency on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Tallgrass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Prairie Biomass Production and Species Composition </w:t>
      </w:r>
    </w:p>
    <w:p w14:paraId="5555B72F" w14:textId="5340701B" w:rsidR="007B274B" w:rsidRPr="007B274B" w:rsidRDefault="00872103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Perennial grasslands 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are a potential biofuel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feedstock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, but little is known about the 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effects of harvesting</w:t>
      </w:r>
      <w:r w:rsidR="006019E6">
        <w:rPr>
          <w:rFonts w:ascii="Arial" w:eastAsia="Times New Roman" w:hAnsi="Arial" w:cs="Arial"/>
          <w:color w:val="989898"/>
          <w:sz w:val="30"/>
          <w:szCs w:val="30"/>
        </w:rPr>
        <w:t xml:space="preserve"> these grasses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.</w:t>
      </w:r>
    </w:p>
    <w:p w14:paraId="5555B730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43B5E602" w14:textId="002601DA" w:rsidR="00D75A45" w:rsidRDefault="005C58B8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Native perennial grasslands, which can be planted on marginal lands, </w:t>
      </w:r>
      <w:r w:rsidR="00D75A45">
        <w:rPr>
          <w:rFonts w:ascii="Arial" w:eastAsia="Times New Roman" w:hAnsi="Arial" w:cs="Arial"/>
          <w:color w:val="363636"/>
          <w:sz w:val="20"/>
          <w:szCs w:val="20"/>
        </w:rPr>
        <w:t xml:space="preserve">are a potential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feedstock source </w:t>
      </w:r>
      <w:r w:rsidR="00D75A45">
        <w:rPr>
          <w:rFonts w:ascii="Arial" w:eastAsia="Times New Roman" w:hAnsi="Arial" w:cs="Arial"/>
          <w:color w:val="363636"/>
          <w:sz w:val="20"/>
          <w:szCs w:val="20"/>
        </w:rPr>
        <w:t xml:space="preserve">for </w:t>
      </w:r>
      <w:proofErr w:type="spellStart"/>
      <w:r w:rsidR="00D75A45">
        <w:rPr>
          <w:rFonts w:ascii="Arial" w:eastAsia="Times New Roman" w:hAnsi="Arial" w:cs="Arial"/>
          <w:color w:val="363636"/>
          <w:sz w:val="20"/>
          <w:szCs w:val="20"/>
        </w:rPr>
        <w:t>lig</w:t>
      </w:r>
      <w:r>
        <w:rPr>
          <w:rFonts w:ascii="Arial" w:eastAsia="Times New Roman" w:hAnsi="Arial" w:cs="Arial"/>
          <w:color w:val="363636"/>
          <w:sz w:val="20"/>
          <w:szCs w:val="20"/>
        </w:rPr>
        <w:t>nocellulosic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biofuel production</w:t>
      </w:r>
      <w:r w:rsidR="00C0605D">
        <w:rPr>
          <w:rFonts w:ascii="Arial" w:eastAsia="Times New Roman" w:hAnsi="Arial" w:cs="Arial"/>
          <w:color w:val="363636"/>
          <w:sz w:val="20"/>
          <w:szCs w:val="20"/>
        </w:rPr>
        <w:t>. And yet</w:t>
      </w:r>
      <w:r w:rsidR="00D75A45">
        <w:rPr>
          <w:rFonts w:ascii="Arial" w:eastAsia="Times New Roman" w:hAnsi="Arial" w:cs="Arial"/>
          <w:color w:val="363636"/>
          <w:sz w:val="20"/>
          <w:szCs w:val="20"/>
        </w:rPr>
        <w:t xml:space="preserve"> more information is needed to understand </w:t>
      </w:r>
      <w:r w:rsidR="00B027E8">
        <w:rPr>
          <w:rFonts w:ascii="Arial" w:eastAsia="Times New Roman" w:hAnsi="Arial" w:cs="Arial"/>
          <w:color w:val="363636"/>
          <w:sz w:val="20"/>
          <w:szCs w:val="20"/>
        </w:rPr>
        <w:t>how management practices such as frequency or timing of harvesting can affect their productivity and community composition.</w:t>
      </w:r>
    </w:p>
    <w:p w14:paraId="5555B732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555B733" w14:textId="4CE1323D" w:rsidR="007B274B" w:rsidRPr="007B274B" w:rsidRDefault="00AE6793" w:rsidP="00125359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research su</w:t>
      </w:r>
      <w:r w:rsidR="00C41BDA">
        <w:rPr>
          <w:rFonts w:ascii="Arial" w:eastAsia="Times New Roman" w:hAnsi="Arial" w:cs="Arial"/>
          <w:color w:val="363636"/>
          <w:sz w:val="20"/>
          <w:szCs w:val="20"/>
        </w:rPr>
        <w:t xml:space="preserve">ggests that the best practice for maximizing biomass production – </w:t>
      </w:r>
      <w:r>
        <w:rPr>
          <w:rFonts w:ascii="Arial" w:eastAsia="Times New Roman" w:hAnsi="Arial" w:cs="Arial"/>
          <w:color w:val="363636"/>
          <w:sz w:val="20"/>
          <w:szCs w:val="20"/>
        </w:rPr>
        <w:t>especially on sites where C</w:t>
      </w:r>
      <w:r w:rsidRPr="00AE6793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4</w:t>
      </w:r>
      <w:r w:rsidR="00C41BDA">
        <w:rPr>
          <w:rFonts w:ascii="Arial" w:eastAsia="Times New Roman" w:hAnsi="Arial" w:cs="Arial"/>
          <w:color w:val="363636"/>
          <w:sz w:val="20"/>
          <w:szCs w:val="20"/>
        </w:rPr>
        <w:t xml:space="preserve"> grasses dominate – </w:t>
      </w:r>
      <w:r>
        <w:rPr>
          <w:rFonts w:ascii="Arial" w:eastAsia="Times New Roman" w:hAnsi="Arial" w:cs="Arial"/>
          <w:color w:val="363636"/>
          <w:sz w:val="20"/>
          <w:szCs w:val="20"/>
        </w:rPr>
        <w:t>is a single harvest at the end of the seaso</w:t>
      </w:r>
      <w:r w:rsidR="00C41BDA">
        <w:rPr>
          <w:rFonts w:ascii="Arial" w:eastAsia="Times New Roman" w:hAnsi="Arial" w:cs="Arial"/>
          <w:color w:val="363636"/>
          <w:sz w:val="20"/>
          <w:szCs w:val="20"/>
        </w:rPr>
        <w:t xml:space="preserve">n. </w:t>
      </w:r>
      <w:r>
        <w:rPr>
          <w:rFonts w:ascii="Arial" w:eastAsia="Times New Roman" w:hAnsi="Arial" w:cs="Arial"/>
          <w:color w:val="363636"/>
          <w:sz w:val="20"/>
          <w:szCs w:val="20"/>
        </w:rPr>
        <w:t>However, two harvests can produce the same amount of biomass at more diverse sites, and may support other ecosystem services.</w:t>
      </w:r>
    </w:p>
    <w:p w14:paraId="5555B734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5555B735" w14:textId="5BA0A638" w:rsidR="007B274B" w:rsidRPr="007B274B" w:rsidRDefault="00832797" w:rsidP="00125359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Great Lakes Bioenergy Research Center scientists used t</w:t>
      </w:r>
      <w:r w:rsidR="006C09F5">
        <w:rPr>
          <w:rFonts w:ascii="Arial" w:eastAsia="Times New Roman" w:hAnsi="Arial" w:cs="Arial"/>
          <w:color w:val="363636"/>
          <w:sz w:val="20"/>
          <w:szCs w:val="20"/>
        </w:rPr>
        <w:t xml:space="preserve">wo </w:t>
      </w:r>
      <w:r w:rsidR="00D70B1D">
        <w:rPr>
          <w:rFonts w:ascii="Arial" w:eastAsia="Times New Roman" w:hAnsi="Arial" w:cs="Arial"/>
          <w:color w:val="363636"/>
          <w:sz w:val="20"/>
          <w:szCs w:val="20"/>
        </w:rPr>
        <w:t xml:space="preserve">sites in southwestern Michigan </w:t>
      </w:r>
      <w:r w:rsidR="00BE4AAD">
        <w:rPr>
          <w:rFonts w:ascii="Arial" w:eastAsia="Times New Roman" w:hAnsi="Arial" w:cs="Arial"/>
          <w:color w:val="363636"/>
          <w:sz w:val="20"/>
          <w:szCs w:val="20"/>
        </w:rPr>
        <w:t>to compare</w:t>
      </w:r>
      <w:r w:rsidR="00067086">
        <w:rPr>
          <w:rFonts w:ascii="Arial" w:eastAsia="Times New Roman" w:hAnsi="Arial" w:cs="Arial"/>
          <w:color w:val="363636"/>
          <w:sz w:val="20"/>
          <w:szCs w:val="20"/>
        </w:rPr>
        <w:t xml:space="preserve"> the effects of</w:t>
      </w:r>
      <w:r w:rsidR="00BE4AAD">
        <w:rPr>
          <w:rFonts w:ascii="Arial" w:eastAsia="Times New Roman" w:hAnsi="Arial" w:cs="Arial"/>
          <w:color w:val="363636"/>
          <w:sz w:val="20"/>
          <w:szCs w:val="20"/>
        </w:rPr>
        <w:t xml:space="preserve"> once- and tw</w:t>
      </w:r>
      <w:r w:rsidR="00067086">
        <w:rPr>
          <w:rFonts w:ascii="Arial" w:eastAsia="Times New Roman" w:hAnsi="Arial" w:cs="Arial"/>
          <w:color w:val="363636"/>
          <w:sz w:val="20"/>
          <w:szCs w:val="20"/>
        </w:rPr>
        <w:t>ice-annual harvesting regimes on biomass production an</w:t>
      </w:r>
      <w:r w:rsidR="00DD6359">
        <w:rPr>
          <w:rFonts w:ascii="Arial" w:eastAsia="Times New Roman" w:hAnsi="Arial" w:cs="Arial"/>
          <w:color w:val="363636"/>
          <w:sz w:val="20"/>
          <w:szCs w:val="20"/>
        </w:rPr>
        <w:t xml:space="preserve">d plant community composition. </w:t>
      </w:r>
      <w:r w:rsidR="00DE59F5">
        <w:rPr>
          <w:rFonts w:ascii="Arial" w:eastAsia="Times New Roman" w:hAnsi="Arial" w:cs="Arial"/>
          <w:color w:val="363636"/>
          <w:sz w:val="20"/>
          <w:szCs w:val="20"/>
        </w:rPr>
        <w:t xml:space="preserve">Despite being planted with the same mix of prairie species, the plant communities that established at the two </w:t>
      </w:r>
      <w:r w:rsidR="00381244">
        <w:rPr>
          <w:rFonts w:ascii="Arial" w:eastAsia="Times New Roman" w:hAnsi="Arial" w:cs="Arial"/>
          <w:color w:val="363636"/>
          <w:sz w:val="20"/>
          <w:szCs w:val="20"/>
        </w:rPr>
        <w:t xml:space="preserve">sites were markedly different. </w:t>
      </w:r>
      <w:r w:rsidR="00DE59F5">
        <w:rPr>
          <w:rFonts w:ascii="Arial" w:eastAsia="Times New Roman" w:hAnsi="Arial" w:cs="Arial"/>
          <w:color w:val="363636"/>
          <w:sz w:val="20"/>
          <w:szCs w:val="20"/>
        </w:rPr>
        <w:t>Whereas the site dominated by C</w:t>
      </w:r>
      <w:r w:rsidR="00DE59F5" w:rsidRPr="00DE59F5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4</w:t>
      </w:r>
      <w:r w:rsidR="00DE59F5">
        <w:rPr>
          <w:rFonts w:ascii="Arial" w:eastAsia="Times New Roman" w:hAnsi="Arial" w:cs="Arial"/>
          <w:color w:val="363636"/>
          <w:sz w:val="20"/>
          <w:szCs w:val="20"/>
        </w:rPr>
        <w:t xml:space="preserve"> warm season grasses generally produced more biomass with single harvests than double harvests, </w:t>
      </w:r>
      <w:proofErr w:type="gramStart"/>
      <w:r w:rsidR="00DE59F5">
        <w:rPr>
          <w:rFonts w:ascii="Arial" w:eastAsia="Times New Roman" w:hAnsi="Arial" w:cs="Arial"/>
          <w:color w:val="363636"/>
          <w:sz w:val="20"/>
          <w:szCs w:val="20"/>
        </w:rPr>
        <w:t>total biomass production was not impacted by harvesting frequ</w:t>
      </w:r>
      <w:r w:rsidR="00125359">
        <w:rPr>
          <w:rFonts w:ascii="Arial" w:eastAsia="Times New Roman" w:hAnsi="Arial" w:cs="Arial"/>
          <w:color w:val="363636"/>
          <w:sz w:val="20"/>
          <w:szCs w:val="20"/>
        </w:rPr>
        <w:t>ency at the more diverse site</w:t>
      </w:r>
      <w:proofErr w:type="gramEnd"/>
      <w:r w:rsidR="00125359">
        <w:rPr>
          <w:rFonts w:ascii="Arial" w:eastAsia="Times New Roman" w:hAnsi="Arial" w:cs="Arial"/>
          <w:color w:val="363636"/>
          <w:sz w:val="20"/>
          <w:szCs w:val="20"/>
        </w:rPr>
        <w:t xml:space="preserve">.  Further, despite expectations that a summer harvest would result in increased plant diversity, </w:t>
      </w:r>
      <w:r w:rsidR="00EC0A34">
        <w:rPr>
          <w:rFonts w:ascii="Arial" w:eastAsia="Times New Roman" w:hAnsi="Arial" w:cs="Arial"/>
          <w:color w:val="363636"/>
          <w:sz w:val="20"/>
          <w:szCs w:val="20"/>
        </w:rPr>
        <w:t xml:space="preserve">harvesting in summer had </w:t>
      </w:r>
      <w:r w:rsidR="0091233D">
        <w:rPr>
          <w:rFonts w:ascii="Arial" w:eastAsia="Times New Roman" w:hAnsi="Arial" w:cs="Arial"/>
          <w:color w:val="363636"/>
          <w:sz w:val="20"/>
          <w:szCs w:val="20"/>
        </w:rPr>
        <w:t xml:space="preserve">only small effects. </w:t>
      </w:r>
      <w:r w:rsidR="00125359">
        <w:rPr>
          <w:rFonts w:ascii="Arial" w:eastAsia="Times New Roman" w:hAnsi="Arial" w:cs="Arial"/>
          <w:color w:val="363636"/>
          <w:sz w:val="20"/>
          <w:szCs w:val="20"/>
        </w:rPr>
        <w:t>Overall, the study results indicate that a</w:t>
      </w:r>
      <w:r w:rsidR="002E65FA">
        <w:rPr>
          <w:rFonts w:ascii="Arial" w:eastAsia="Times New Roman" w:hAnsi="Arial" w:cs="Arial"/>
          <w:color w:val="363636"/>
          <w:sz w:val="20"/>
          <w:szCs w:val="20"/>
        </w:rPr>
        <w:t xml:space="preserve"> single end-of-season harvest is</w:t>
      </w:r>
      <w:r w:rsidR="00125359">
        <w:rPr>
          <w:rFonts w:ascii="Arial" w:eastAsia="Times New Roman" w:hAnsi="Arial" w:cs="Arial"/>
          <w:color w:val="363636"/>
          <w:sz w:val="20"/>
          <w:szCs w:val="20"/>
        </w:rPr>
        <w:t xml:space="preserve"> the best way to maximize biomass production in native perennial grasslands, especially on sites dominated C</w:t>
      </w:r>
      <w:r w:rsidR="00125359" w:rsidRPr="00DE59F5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4</w:t>
      </w:r>
      <w:r w:rsidR="00125359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 xml:space="preserve"> </w:t>
      </w:r>
      <w:r w:rsidR="00476442">
        <w:rPr>
          <w:rFonts w:ascii="Arial" w:eastAsia="Times New Roman" w:hAnsi="Arial" w:cs="Arial"/>
          <w:color w:val="363636"/>
          <w:sz w:val="20"/>
          <w:szCs w:val="20"/>
        </w:rPr>
        <w:t xml:space="preserve">by grasses. </w:t>
      </w:r>
      <w:r w:rsidR="00125359">
        <w:rPr>
          <w:rFonts w:ascii="Arial" w:eastAsia="Times New Roman" w:hAnsi="Arial" w:cs="Arial"/>
          <w:color w:val="363636"/>
          <w:sz w:val="20"/>
          <w:szCs w:val="20"/>
        </w:rPr>
        <w:t xml:space="preserve">However, a double harvest on more diverse sites could result in increasing other ecosystem services without negatively impacting biomass yield.  </w:t>
      </w:r>
    </w:p>
    <w:p w14:paraId="5555B73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5555B737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8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5555B739" w14:textId="14C3D1DB" w:rsidR="009A66FB" w:rsidRDefault="00125359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Katherine L. Gross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>
        <w:rPr>
          <w:rFonts w:ascii="Arial" w:eastAsia="Times New Roman" w:hAnsi="Arial" w:cs="Arial"/>
          <w:color w:val="363636"/>
          <w:sz w:val="20"/>
          <w:szCs w:val="20"/>
        </w:rPr>
        <w:t>W.K. Kellogg Biological Station, Michigan State University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F542EA">
        <w:rPr>
          <w:rFonts w:ascii="Arial" w:eastAsia="Times New Roman" w:hAnsi="Arial" w:cs="Arial"/>
          <w:color w:val="363636"/>
          <w:sz w:val="20"/>
          <w:szCs w:val="20"/>
        </w:rPr>
        <w:t>269-671-2341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A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5555B73B" w14:textId="3738CE21" w:rsidR="007B274B" w:rsidRPr="007B274B" w:rsidRDefault="00F542EA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DOE Great Lakes Bioenergy Research Center is supported by the US Department of Energy, Office of Science, Office of Biological and Environmental Research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Pr="00781471">
        <w:rPr>
          <w:rFonts w:ascii="Arial" w:eastAsia="Times New Roman" w:hAnsi="Arial" w:cs="Arial"/>
          <w:color w:val="363636"/>
          <w:sz w:val="20"/>
          <w:szCs w:val="20"/>
        </w:rPr>
        <w:t>through contract number DE</w:t>
      </w:r>
      <w:r w:rsidRPr="00781471">
        <w:rPr>
          <w:rFonts w:ascii="Arial" w:hAnsi="Arial" w:cs="Arial"/>
          <w:color w:val="000000"/>
          <w:sz w:val="20"/>
          <w:szCs w:val="20"/>
        </w:rPr>
        <w:t>-FC02-07ER64494.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C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555B73E" w14:textId="2FF66DD7" w:rsidR="00CB4C43" w:rsidRPr="00F542EA" w:rsidRDefault="00F542EA" w:rsidP="00CB4C43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Stahlheber</w:t>
      </w:r>
      <w:proofErr w:type="spellEnd"/>
      <w:r>
        <w:rPr>
          <w:rFonts w:eastAsia="Times New Roman"/>
        </w:rPr>
        <w:t xml:space="preserve">, K. A. </w:t>
      </w:r>
      <w:r w:rsidRPr="00F542EA">
        <w:rPr>
          <w:rFonts w:eastAsia="Times New Roman"/>
          <w:i/>
        </w:rPr>
        <w:t>et al.</w:t>
      </w:r>
      <w:r>
        <w:rPr>
          <w:rFonts w:eastAsia="Times New Roman"/>
        </w:rPr>
        <w:t xml:space="preserve">  “Balancing biofuel production and biodiversity: Harvesting frequency effects on production and community composition in planted </w:t>
      </w:r>
      <w:proofErr w:type="spellStart"/>
      <w:r>
        <w:rPr>
          <w:rFonts w:eastAsia="Times New Roman"/>
        </w:rPr>
        <w:t>tallgrass</w:t>
      </w:r>
      <w:proofErr w:type="spellEnd"/>
      <w:r>
        <w:rPr>
          <w:rFonts w:eastAsia="Times New Roman"/>
        </w:rPr>
        <w:t xml:space="preserve"> prairie.”  </w:t>
      </w:r>
      <w:r>
        <w:rPr>
          <w:rFonts w:eastAsia="Times New Roman"/>
          <w:i/>
        </w:rPr>
        <w:t>Biomass and Bioenergy</w:t>
      </w:r>
      <w:r>
        <w:rPr>
          <w:rFonts w:eastAsia="Times New Roman"/>
          <w:b/>
        </w:rPr>
        <w:t xml:space="preserve"> 92,</w:t>
      </w:r>
      <w:r>
        <w:rPr>
          <w:rFonts w:eastAsia="Times New Roman"/>
        </w:rPr>
        <w:t xml:space="preserve"> </w:t>
      </w:r>
      <w:r w:rsidR="008C4F8D">
        <w:rPr>
          <w:rFonts w:eastAsia="Times New Roman"/>
        </w:rPr>
        <w:t xml:space="preserve">98-105 (2016) DOI: </w:t>
      </w:r>
      <w:r w:rsidR="008C4F8D" w:rsidRPr="008C4F8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10.1016/j.biombioe.2016.06.012</w:t>
      </w:r>
    </w:p>
    <w:p w14:paraId="5555B73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5555B741" w14:textId="6035576D" w:rsidR="0026738D" w:rsidRDefault="008C7C38" w:rsidP="00A35641">
      <w:pPr>
        <w:spacing w:after="120"/>
      </w:pPr>
      <w:hyperlink r:id="rId13" w:history="1">
        <w:r w:rsidR="00E56B58" w:rsidRPr="002073AB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http://dx.doi.org/10.1016/j.biombioe.216.06.012</w:t>
        </w:r>
      </w:hyperlink>
    </w:p>
    <w:p w14:paraId="5555B742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5555B744" w14:textId="77777777" w:rsidR="0026738D" w:rsidRDefault="0026738D" w:rsidP="0026738D">
      <w:pPr>
        <w:spacing w:after="120"/>
      </w:pPr>
      <w:bookmarkStart w:id="0" w:name="_GoBack"/>
      <w:bookmarkEnd w:id="0"/>
    </w:p>
    <w:sectPr w:rsidR="0026738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E680" w14:textId="77777777" w:rsidR="009016F0" w:rsidRDefault="009016F0" w:rsidP="000B4810">
      <w:pPr>
        <w:spacing w:after="0" w:line="240" w:lineRule="auto"/>
      </w:pPr>
      <w:r>
        <w:separator/>
      </w:r>
    </w:p>
  </w:endnote>
  <w:endnote w:type="continuationSeparator" w:id="0">
    <w:p w14:paraId="7E32FD15" w14:textId="77777777" w:rsidR="009016F0" w:rsidRDefault="009016F0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07A5" w14:textId="77777777" w:rsidR="009016F0" w:rsidRDefault="009016F0" w:rsidP="000B4810">
      <w:pPr>
        <w:spacing w:after="0" w:line="240" w:lineRule="auto"/>
      </w:pPr>
      <w:r>
        <w:separator/>
      </w:r>
    </w:p>
  </w:footnote>
  <w:footnote w:type="continuationSeparator" w:id="0">
    <w:p w14:paraId="0563F9E7" w14:textId="77777777" w:rsidR="009016F0" w:rsidRDefault="009016F0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555B76A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5555B76B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 w:rsidR="001A2CBE">
      <w:rPr>
        <w:color w:val="FFFFFF" w:themeColor="background1"/>
        <w:sz w:val="20"/>
      </w:rPr>
      <w:t>23 Nov</w:t>
    </w:r>
    <w:r w:rsidR="00EE4DB6">
      <w:rPr>
        <w:color w:val="FFFFFF" w:themeColor="background1"/>
        <w:sz w:val="20"/>
      </w:rPr>
      <w:t xml:space="preserve"> 201</w:t>
    </w:r>
    <w:r w:rsidR="00247EA0">
      <w:rPr>
        <w:color w:val="FFFFFF" w:themeColor="background1"/>
        <w:sz w:val="2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67086"/>
    <w:rsid w:val="0008010C"/>
    <w:rsid w:val="000B4810"/>
    <w:rsid w:val="000B484E"/>
    <w:rsid w:val="000C0BC5"/>
    <w:rsid w:val="000D498A"/>
    <w:rsid w:val="000F6F58"/>
    <w:rsid w:val="0011329C"/>
    <w:rsid w:val="00125359"/>
    <w:rsid w:val="001658A3"/>
    <w:rsid w:val="00175E67"/>
    <w:rsid w:val="00192A66"/>
    <w:rsid w:val="001A2CBE"/>
    <w:rsid w:val="001A746A"/>
    <w:rsid w:val="001D66F0"/>
    <w:rsid w:val="001F5864"/>
    <w:rsid w:val="00211CC7"/>
    <w:rsid w:val="0021623B"/>
    <w:rsid w:val="00233DC8"/>
    <w:rsid w:val="00247EA0"/>
    <w:rsid w:val="0025497A"/>
    <w:rsid w:val="00257E2C"/>
    <w:rsid w:val="0026738D"/>
    <w:rsid w:val="00267F0E"/>
    <w:rsid w:val="00290B1F"/>
    <w:rsid w:val="002A79E7"/>
    <w:rsid w:val="002D5D75"/>
    <w:rsid w:val="002E42A2"/>
    <w:rsid w:val="002E65FA"/>
    <w:rsid w:val="002F4910"/>
    <w:rsid w:val="002F5B5E"/>
    <w:rsid w:val="002F6953"/>
    <w:rsid w:val="00337F48"/>
    <w:rsid w:val="00355F66"/>
    <w:rsid w:val="00381244"/>
    <w:rsid w:val="00383BB6"/>
    <w:rsid w:val="003E17A6"/>
    <w:rsid w:val="0042647A"/>
    <w:rsid w:val="00476442"/>
    <w:rsid w:val="004919C4"/>
    <w:rsid w:val="004C7495"/>
    <w:rsid w:val="004D6C80"/>
    <w:rsid w:val="004F42BF"/>
    <w:rsid w:val="00500309"/>
    <w:rsid w:val="00500BB6"/>
    <w:rsid w:val="005332DD"/>
    <w:rsid w:val="00535DFF"/>
    <w:rsid w:val="00571E7D"/>
    <w:rsid w:val="00573D7C"/>
    <w:rsid w:val="00576FFE"/>
    <w:rsid w:val="005819FC"/>
    <w:rsid w:val="00593254"/>
    <w:rsid w:val="005C4E24"/>
    <w:rsid w:val="005C58B8"/>
    <w:rsid w:val="005E2DC4"/>
    <w:rsid w:val="005F6E26"/>
    <w:rsid w:val="005F7FC7"/>
    <w:rsid w:val="006019E6"/>
    <w:rsid w:val="0062442A"/>
    <w:rsid w:val="006266AA"/>
    <w:rsid w:val="006304AD"/>
    <w:rsid w:val="00636AC8"/>
    <w:rsid w:val="00636FEB"/>
    <w:rsid w:val="00646A02"/>
    <w:rsid w:val="006542B3"/>
    <w:rsid w:val="00673449"/>
    <w:rsid w:val="0068372E"/>
    <w:rsid w:val="006C09F5"/>
    <w:rsid w:val="006C6B37"/>
    <w:rsid w:val="006D4699"/>
    <w:rsid w:val="006F7D7C"/>
    <w:rsid w:val="00711982"/>
    <w:rsid w:val="00716D69"/>
    <w:rsid w:val="00733489"/>
    <w:rsid w:val="007432D1"/>
    <w:rsid w:val="00745A65"/>
    <w:rsid w:val="0074746D"/>
    <w:rsid w:val="007613CC"/>
    <w:rsid w:val="00767739"/>
    <w:rsid w:val="00782CE5"/>
    <w:rsid w:val="007B274B"/>
    <w:rsid w:val="007B53AA"/>
    <w:rsid w:val="007C2943"/>
    <w:rsid w:val="007C52C5"/>
    <w:rsid w:val="00801572"/>
    <w:rsid w:val="0082296E"/>
    <w:rsid w:val="00825983"/>
    <w:rsid w:val="00826949"/>
    <w:rsid w:val="00832797"/>
    <w:rsid w:val="00843576"/>
    <w:rsid w:val="008508EC"/>
    <w:rsid w:val="00850A3D"/>
    <w:rsid w:val="00872103"/>
    <w:rsid w:val="00873AC2"/>
    <w:rsid w:val="00874C5E"/>
    <w:rsid w:val="008B7C10"/>
    <w:rsid w:val="008C0CBD"/>
    <w:rsid w:val="008C23B0"/>
    <w:rsid w:val="008C4F8D"/>
    <w:rsid w:val="008C7C38"/>
    <w:rsid w:val="008D4B8D"/>
    <w:rsid w:val="008E6D5B"/>
    <w:rsid w:val="009016F0"/>
    <w:rsid w:val="00902C20"/>
    <w:rsid w:val="0091233D"/>
    <w:rsid w:val="00916057"/>
    <w:rsid w:val="009432C4"/>
    <w:rsid w:val="00996F03"/>
    <w:rsid w:val="009A31DB"/>
    <w:rsid w:val="009A66FB"/>
    <w:rsid w:val="009D581F"/>
    <w:rsid w:val="009D766D"/>
    <w:rsid w:val="009F61EB"/>
    <w:rsid w:val="00A03864"/>
    <w:rsid w:val="00A11F18"/>
    <w:rsid w:val="00A35641"/>
    <w:rsid w:val="00A5359A"/>
    <w:rsid w:val="00A74CB7"/>
    <w:rsid w:val="00A83D3D"/>
    <w:rsid w:val="00AD3F8F"/>
    <w:rsid w:val="00AE6793"/>
    <w:rsid w:val="00AE7790"/>
    <w:rsid w:val="00B027E8"/>
    <w:rsid w:val="00B217FC"/>
    <w:rsid w:val="00B41B01"/>
    <w:rsid w:val="00B62030"/>
    <w:rsid w:val="00B81046"/>
    <w:rsid w:val="00BB7E2C"/>
    <w:rsid w:val="00BD2EE7"/>
    <w:rsid w:val="00BD4E92"/>
    <w:rsid w:val="00BE4AAD"/>
    <w:rsid w:val="00C02CCD"/>
    <w:rsid w:val="00C0605D"/>
    <w:rsid w:val="00C32F99"/>
    <w:rsid w:val="00C41BDA"/>
    <w:rsid w:val="00C525E6"/>
    <w:rsid w:val="00C57577"/>
    <w:rsid w:val="00C702C6"/>
    <w:rsid w:val="00C93BC1"/>
    <w:rsid w:val="00CA72ED"/>
    <w:rsid w:val="00CB4C43"/>
    <w:rsid w:val="00CF272C"/>
    <w:rsid w:val="00D00791"/>
    <w:rsid w:val="00D3194B"/>
    <w:rsid w:val="00D36E52"/>
    <w:rsid w:val="00D43043"/>
    <w:rsid w:val="00D6358C"/>
    <w:rsid w:val="00D644E2"/>
    <w:rsid w:val="00D70B1D"/>
    <w:rsid w:val="00D75A45"/>
    <w:rsid w:val="00DB6B14"/>
    <w:rsid w:val="00DD6359"/>
    <w:rsid w:val="00DE59F5"/>
    <w:rsid w:val="00DF251B"/>
    <w:rsid w:val="00E02D4F"/>
    <w:rsid w:val="00E0430B"/>
    <w:rsid w:val="00E0604F"/>
    <w:rsid w:val="00E31609"/>
    <w:rsid w:val="00E56B58"/>
    <w:rsid w:val="00E777FB"/>
    <w:rsid w:val="00E94218"/>
    <w:rsid w:val="00EC0A34"/>
    <w:rsid w:val="00EE05AE"/>
    <w:rsid w:val="00EE45DE"/>
    <w:rsid w:val="00EE4DB6"/>
    <w:rsid w:val="00F01731"/>
    <w:rsid w:val="00F51661"/>
    <w:rsid w:val="00F542EA"/>
    <w:rsid w:val="00F97B76"/>
    <w:rsid w:val="00FA38A3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5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http://dx.doi.org/10.1016/j.biombioe.216.06.012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72427" w:rsidRDefault="0067242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7"/>
    <w:rsid w:val="002350E0"/>
    <w:rsid w:val="00672427"/>
    <w:rsid w:val="00CA7E3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HUBDOC-169-574</_dlc_DocId>
    <_dlc_DocIdUrl xmlns="f66da2ca-f37c-4205-929f-e8e9af1907d3">
      <Url>https://intranet.wei.wisc.edu/glbrc/doe/_layouts/15/DocIdRedir.aspx?ID=HUBDOC-169-574</Url>
      <Description>HUBDOC-169-574</Description>
    </_dlc_DocIdUrl>
  </documentManagement>
</p:properties>
</file>

<file path=customXml/itemProps1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27</cp:revision>
  <cp:lastPrinted>2017-01-24T17:00:00Z</cp:lastPrinted>
  <dcterms:created xsi:type="dcterms:W3CDTF">2017-02-08T18:25:00Z</dcterms:created>
  <dcterms:modified xsi:type="dcterms:W3CDTF">2017-02-08T19:14:00Z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593514da-8294-4471-99dd-9861420b1bdb</vt:lpwstr>
  </property>
  <property fmtid="{D5CDD505-2E9C-101B-9397-08002B2CF9AE}" pid="4" name="TaxKeyword">
    <vt:lpwstr/>
  </property>
</Properties>
</file>