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FB8010" w14:textId="77777777" w:rsidR="007B274B" w:rsidRPr="007B274B" w:rsidRDefault="00E564B3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14 October 2016</w:t>
      </w:r>
    </w:p>
    <w:p w14:paraId="356CCEF0" w14:textId="1F239054" w:rsidR="007B274B" w:rsidRPr="007B274B" w:rsidRDefault="007F6B33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Yeast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</w:t>
      </w:r>
      <w:r w:rsidR="0010385D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volved f</w:t>
      </w:r>
      <w:r w:rsidR="009C37A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or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nhanced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x</w:t>
      </w:r>
      <w:r w:rsidR="009C37A7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ylose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u</w:t>
      </w:r>
      <w:r w:rsidR="00F23C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tilization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</w:t>
      </w:r>
      <w:r w:rsidR="00F23CEA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eveal</w:t>
      </w:r>
      <w:r w:rsidR="005B537F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nteractions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between c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ell-signaling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p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athways and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ron-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s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ulfur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c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 xml:space="preserve">luster </w:t>
      </w:r>
      <w:r w:rsidR="004B2F0B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b</w:t>
      </w:r>
      <w:r w:rsidR="00C420C2"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iogenesis</w:t>
      </w:r>
    </w:p>
    <w:p w14:paraId="2A4BA109" w14:textId="3BEC6552" w:rsidR="007B274B" w:rsidRPr="007B274B" w:rsidRDefault="00B32821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r>
        <w:rPr>
          <w:rFonts w:ascii="Arial" w:eastAsia="Times New Roman" w:hAnsi="Arial" w:cs="Arial"/>
          <w:color w:val="989898"/>
          <w:sz w:val="30"/>
          <w:szCs w:val="30"/>
        </w:rPr>
        <w:t>Un</w:t>
      </w:r>
      <w:r w:rsidR="00C420C2">
        <w:rPr>
          <w:rFonts w:ascii="Arial" w:eastAsia="Times New Roman" w:hAnsi="Arial" w:cs="Arial"/>
          <w:color w:val="989898"/>
          <w:sz w:val="30"/>
          <w:szCs w:val="30"/>
        </w:rPr>
        <w:t xml:space="preserve">derstanding how </w:t>
      </w:r>
      <w:r w:rsidR="00876127">
        <w:rPr>
          <w:rFonts w:ascii="Arial" w:eastAsia="Times New Roman" w:hAnsi="Arial" w:cs="Arial"/>
          <w:color w:val="989898"/>
          <w:sz w:val="30"/>
          <w:szCs w:val="30"/>
        </w:rPr>
        <w:t xml:space="preserve">yeast </w:t>
      </w:r>
      <w:r w:rsidR="00F23CEA">
        <w:rPr>
          <w:rFonts w:ascii="Arial" w:eastAsia="Times New Roman" w:hAnsi="Arial" w:cs="Arial"/>
          <w:color w:val="989898"/>
          <w:sz w:val="30"/>
          <w:szCs w:val="30"/>
        </w:rPr>
        <w:t xml:space="preserve">cells adapt to </w:t>
      </w:r>
      <w:r w:rsidR="00587403">
        <w:rPr>
          <w:rFonts w:ascii="Arial" w:eastAsia="Times New Roman" w:hAnsi="Arial" w:cs="Arial"/>
          <w:color w:val="989898"/>
          <w:sz w:val="30"/>
          <w:szCs w:val="30"/>
        </w:rPr>
        <w:t>non-preferential</w:t>
      </w:r>
      <w:r w:rsidR="00E83805">
        <w:rPr>
          <w:rFonts w:ascii="Arial" w:eastAsia="Times New Roman" w:hAnsi="Arial" w:cs="Arial"/>
          <w:color w:val="989898"/>
          <w:sz w:val="30"/>
          <w:szCs w:val="30"/>
        </w:rPr>
        <w:t xml:space="preserve"> carbon sources uncovers potential</w:t>
      </w:r>
      <w:r w:rsidR="0095446D">
        <w:rPr>
          <w:rFonts w:ascii="Arial" w:eastAsia="Times New Roman" w:hAnsi="Arial" w:cs="Arial"/>
          <w:color w:val="989898"/>
          <w:sz w:val="30"/>
          <w:szCs w:val="30"/>
        </w:rPr>
        <w:t xml:space="preserve"> genetic engineering strategies</w:t>
      </w:r>
      <w:r w:rsidR="006A795A">
        <w:rPr>
          <w:rFonts w:ascii="Arial" w:eastAsia="Times New Roman" w:hAnsi="Arial" w:cs="Arial"/>
          <w:color w:val="989898"/>
          <w:sz w:val="30"/>
          <w:szCs w:val="30"/>
        </w:rPr>
        <w:t xml:space="preserve"> for improved biofuel production.</w:t>
      </w:r>
      <w:r w:rsidR="00F23CEA">
        <w:rPr>
          <w:rFonts w:ascii="Arial" w:eastAsia="Times New Roman" w:hAnsi="Arial" w:cs="Arial"/>
          <w:color w:val="989898"/>
          <w:sz w:val="30"/>
          <w:szCs w:val="30"/>
        </w:rPr>
        <w:t xml:space="preserve"> </w:t>
      </w:r>
    </w:p>
    <w:p w14:paraId="326D9390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30C2C51E" w14:textId="066D34A5" w:rsidR="007B274B" w:rsidRPr="007B274B" w:rsidRDefault="00641A5E" w:rsidP="004B2F0B">
      <w:pPr>
        <w:spacing w:after="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A stress-tolerant yeast strain was evolved for enhanced xylose utilization under </w:t>
      </w:r>
      <w:r w:rsidR="00B5039B">
        <w:rPr>
          <w:rFonts w:ascii="Arial" w:eastAsia="Times New Roman" w:hAnsi="Arial" w:cs="Arial"/>
          <w:color w:val="363636"/>
          <w:sz w:val="20"/>
          <w:szCs w:val="20"/>
        </w:rPr>
        <w:t xml:space="preserve">aerobic or </w:t>
      </w:r>
      <w:r w:rsidR="00BB3BD6">
        <w:rPr>
          <w:rFonts w:ascii="Arial" w:eastAsia="Times New Roman" w:hAnsi="Arial" w:cs="Arial"/>
          <w:color w:val="363636"/>
          <w:sz w:val="20"/>
          <w:szCs w:val="20"/>
        </w:rPr>
        <w:t xml:space="preserve">anaerobic growth conditions, the </w:t>
      </w:r>
      <w:r w:rsidR="00B5039B">
        <w:rPr>
          <w:rFonts w:ascii="Arial" w:eastAsia="Times New Roman" w:hAnsi="Arial" w:cs="Arial"/>
          <w:color w:val="363636"/>
          <w:sz w:val="20"/>
          <w:szCs w:val="20"/>
        </w:rPr>
        <w:t>causative mutations</w:t>
      </w:r>
      <w:r w:rsidR="00481AB9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BB3BD6">
        <w:rPr>
          <w:rFonts w:ascii="Arial" w:eastAsia="Times New Roman" w:hAnsi="Arial" w:cs="Arial"/>
          <w:color w:val="363636"/>
          <w:sz w:val="20"/>
          <w:szCs w:val="20"/>
        </w:rPr>
        <w:t>i</w:t>
      </w:r>
      <w:r w:rsidR="00B5039B">
        <w:rPr>
          <w:rFonts w:ascii="Arial" w:eastAsia="Times New Roman" w:hAnsi="Arial" w:cs="Arial"/>
          <w:color w:val="363636"/>
          <w:sz w:val="20"/>
          <w:szCs w:val="20"/>
        </w:rPr>
        <w:t>dentified</w:t>
      </w:r>
      <w:r w:rsidR="008829EB">
        <w:rPr>
          <w:rFonts w:ascii="Arial" w:eastAsia="Times New Roman" w:hAnsi="Arial" w:cs="Arial"/>
          <w:color w:val="363636"/>
          <w:sz w:val="20"/>
          <w:szCs w:val="20"/>
        </w:rPr>
        <w:t xml:space="preserve"> by whole-genome sequencing</w:t>
      </w:r>
      <w:r w:rsidR="003D6778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1A097C">
        <w:rPr>
          <w:rFonts w:ascii="Arial" w:eastAsia="Times New Roman" w:hAnsi="Arial" w:cs="Arial"/>
          <w:color w:val="363636"/>
          <w:sz w:val="20"/>
          <w:szCs w:val="20"/>
        </w:rPr>
        <w:t xml:space="preserve">and </w:t>
      </w:r>
      <w:r w:rsidR="003D6778">
        <w:rPr>
          <w:rFonts w:ascii="Arial" w:eastAsia="Times New Roman" w:hAnsi="Arial" w:cs="Arial"/>
          <w:color w:val="363636"/>
          <w:sz w:val="20"/>
          <w:szCs w:val="20"/>
        </w:rPr>
        <w:t>systems-level effects of the mutations</w:t>
      </w:r>
      <w:r w:rsidR="00BB3BD6">
        <w:rPr>
          <w:rFonts w:ascii="Arial" w:eastAsia="Times New Roman" w:hAnsi="Arial" w:cs="Arial"/>
          <w:color w:val="363636"/>
          <w:sz w:val="20"/>
          <w:szCs w:val="20"/>
        </w:rPr>
        <w:t xml:space="preserve"> on </w:t>
      </w:r>
      <w:r w:rsidR="003D6778">
        <w:rPr>
          <w:rFonts w:ascii="Arial" w:eastAsia="Times New Roman" w:hAnsi="Arial" w:cs="Arial"/>
          <w:color w:val="363636"/>
          <w:sz w:val="20"/>
          <w:szCs w:val="20"/>
        </w:rPr>
        <w:t xml:space="preserve">cellular </w:t>
      </w:r>
      <w:r w:rsidR="00BB3BD6">
        <w:rPr>
          <w:rFonts w:ascii="Arial" w:eastAsia="Times New Roman" w:hAnsi="Arial" w:cs="Arial"/>
          <w:color w:val="363636"/>
          <w:sz w:val="20"/>
          <w:szCs w:val="20"/>
        </w:rPr>
        <w:t>metabolism were analyzed</w:t>
      </w:r>
      <w:r w:rsidR="008829EB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BA3D92">
        <w:rPr>
          <w:rFonts w:ascii="Arial" w:eastAsia="Times New Roman" w:hAnsi="Arial" w:cs="Arial"/>
          <w:color w:val="363636"/>
          <w:sz w:val="20"/>
          <w:szCs w:val="20"/>
        </w:rPr>
        <w:t xml:space="preserve">Rapid xylose utilization was found to be dependent upon genetic interactions among four genes, uncovering a surprising connection between Fe-S cluster assembly and </w:t>
      </w:r>
      <w:r w:rsidR="008812B8">
        <w:rPr>
          <w:rFonts w:ascii="Arial" w:eastAsia="Times New Roman" w:hAnsi="Arial" w:cs="Arial"/>
          <w:color w:val="363636"/>
          <w:sz w:val="20"/>
          <w:szCs w:val="20"/>
        </w:rPr>
        <w:t xml:space="preserve">cell </w:t>
      </w:r>
      <w:r w:rsidR="00BA3D92">
        <w:rPr>
          <w:rFonts w:ascii="Arial" w:eastAsia="Times New Roman" w:hAnsi="Arial" w:cs="Arial"/>
          <w:color w:val="363636"/>
          <w:sz w:val="20"/>
          <w:szCs w:val="20"/>
        </w:rPr>
        <w:t xml:space="preserve">signaling that facilitates aerobic respiration and anaerobic fermentation of xylose.  </w:t>
      </w:r>
    </w:p>
    <w:p w14:paraId="3B10E684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12682EE5" w14:textId="7CDC110E" w:rsidR="007B274B" w:rsidRPr="007B274B" w:rsidRDefault="00992381" w:rsidP="004B2F0B">
      <w:pPr>
        <w:spacing w:after="18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The yeast </w:t>
      </w:r>
      <w:r w:rsidRPr="00587403">
        <w:rPr>
          <w:rFonts w:ascii="Arial" w:eastAsia="Times New Roman" w:hAnsi="Arial" w:cs="Arial"/>
          <w:i/>
          <w:color w:val="363636"/>
          <w:sz w:val="20"/>
          <w:szCs w:val="20"/>
        </w:rPr>
        <w:t>Saccharomyces cerevisiae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, an important microbial biocatalyst, efficiently converts glucose in lignocellulosic biomass to biofuel whereas other prevalent carbon sources such as xylose are typically poorly utilized. </w:t>
      </w:r>
      <w:r w:rsidR="00845AFF">
        <w:rPr>
          <w:rFonts w:ascii="Arial" w:eastAsia="Times New Roman" w:hAnsi="Arial" w:cs="Arial"/>
          <w:color w:val="363636"/>
          <w:sz w:val="20"/>
          <w:szCs w:val="20"/>
        </w:rPr>
        <w:t>Analysis of</w:t>
      </w:r>
      <w:r w:rsidR="003032BF">
        <w:rPr>
          <w:rFonts w:ascii="Arial" w:eastAsia="Times New Roman" w:hAnsi="Arial" w:cs="Arial"/>
          <w:color w:val="363636"/>
          <w:sz w:val="20"/>
          <w:szCs w:val="20"/>
        </w:rPr>
        <w:t xml:space="preserve"> genetic alterations</w:t>
      </w:r>
      <w:r w:rsidR="0058293D">
        <w:rPr>
          <w:rFonts w:ascii="Arial" w:eastAsia="Times New Roman" w:hAnsi="Arial" w:cs="Arial"/>
          <w:color w:val="363636"/>
          <w:sz w:val="20"/>
          <w:szCs w:val="20"/>
        </w:rPr>
        <w:t xml:space="preserve"> that shift </w:t>
      </w:r>
      <w:r w:rsidR="003032BF">
        <w:rPr>
          <w:rFonts w:ascii="Arial" w:eastAsia="Times New Roman" w:hAnsi="Arial" w:cs="Arial"/>
          <w:color w:val="363636"/>
          <w:sz w:val="20"/>
          <w:szCs w:val="20"/>
        </w:rPr>
        <w:t xml:space="preserve">metabolism toward </w:t>
      </w:r>
      <w:r w:rsidR="002653F8">
        <w:rPr>
          <w:rFonts w:ascii="Arial" w:eastAsia="Times New Roman" w:hAnsi="Arial" w:cs="Arial"/>
          <w:color w:val="363636"/>
          <w:sz w:val="20"/>
          <w:szCs w:val="20"/>
        </w:rPr>
        <w:t>use of non-preferential carbon source</w:t>
      </w:r>
      <w:r w:rsidR="0058293D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2653F8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45AFF">
        <w:rPr>
          <w:rFonts w:ascii="Arial" w:eastAsia="Times New Roman" w:hAnsi="Arial" w:cs="Arial"/>
          <w:color w:val="363636"/>
          <w:sz w:val="20"/>
          <w:szCs w:val="20"/>
        </w:rPr>
        <w:t>identified</w:t>
      </w:r>
      <w:r w:rsidR="00370143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C27BA7">
        <w:rPr>
          <w:rFonts w:ascii="Arial" w:eastAsia="Times New Roman" w:hAnsi="Arial" w:cs="Arial"/>
          <w:color w:val="363636"/>
          <w:sz w:val="20"/>
          <w:szCs w:val="20"/>
        </w:rPr>
        <w:t xml:space="preserve">new </w:t>
      </w:r>
      <w:r w:rsidR="00370143">
        <w:rPr>
          <w:rFonts w:ascii="Arial" w:eastAsia="Times New Roman" w:hAnsi="Arial" w:cs="Arial"/>
          <w:color w:val="363636"/>
          <w:sz w:val="20"/>
          <w:szCs w:val="20"/>
        </w:rPr>
        <w:t xml:space="preserve">cellular </w:t>
      </w:r>
      <w:r w:rsidR="00845AFF">
        <w:rPr>
          <w:rFonts w:ascii="Arial" w:eastAsia="Times New Roman" w:hAnsi="Arial" w:cs="Arial"/>
          <w:color w:val="363636"/>
          <w:sz w:val="20"/>
          <w:szCs w:val="20"/>
        </w:rPr>
        <w:t>connections</w:t>
      </w:r>
      <w:r w:rsidR="004A0E03">
        <w:rPr>
          <w:rFonts w:ascii="Arial" w:eastAsia="Times New Roman" w:hAnsi="Arial" w:cs="Arial"/>
          <w:color w:val="363636"/>
          <w:sz w:val="20"/>
          <w:szCs w:val="20"/>
        </w:rPr>
        <w:t xml:space="preserve"> that may be</w:t>
      </w:r>
      <w:r w:rsidR="00607507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45AFF">
        <w:rPr>
          <w:rFonts w:ascii="Arial" w:eastAsia="Times New Roman" w:hAnsi="Arial" w:cs="Arial"/>
          <w:color w:val="363636"/>
          <w:sz w:val="20"/>
          <w:szCs w:val="20"/>
        </w:rPr>
        <w:t xml:space="preserve">exploited </w:t>
      </w:r>
      <w:r w:rsidR="004A0E03">
        <w:rPr>
          <w:rFonts w:ascii="Arial" w:eastAsia="Times New Roman" w:hAnsi="Arial" w:cs="Arial"/>
          <w:color w:val="363636"/>
          <w:sz w:val="20"/>
          <w:szCs w:val="20"/>
        </w:rPr>
        <w:t xml:space="preserve">for improved </w:t>
      </w:r>
      <w:r w:rsidR="002653F8">
        <w:rPr>
          <w:rFonts w:ascii="Arial" w:eastAsia="Times New Roman" w:hAnsi="Arial" w:cs="Arial"/>
          <w:color w:val="363636"/>
          <w:sz w:val="20"/>
          <w:szCs w:val="20"/>
        </w:rPr>
        <w:t>biofuel production</w:t>
      </w:r>
      <w:r w:rsidR="004A0E03">
        <w:rPr>
          <w:rFonts w:ascii="Arial" w:eastAsia="Times New Roman" w:hAnsi="Arial" w:cs="Arial"/>
          <w:color w:val="363636"/>
          <w:sz w:val="20"/>
          <w:szCs w:val="20"/>
        </w:rPr>
        <w:t xml:space="preserve"> efficiency</w:t>
      </w:r>
      <w:r w:rsidR="002653F8">
        <w:rPr>
          <w:rFonts w:ascii="Arial" w:eastAsia="Times New Roman" w:hAnsi="Arial" w:cs="Arial"/>
          <w:color w:val="363636"/>
          <w:sz w:val="20"/>
          <w:szCs w:val="20"/>
        </w:rPr>
        <w:t>.</w:t>
      </w:r>
    </w:p>
    <w:p w14:paraId="41DBD1F8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2912FB93" w14:textId="520E5BA4" w:rsidR="007B274B" w:rsidRPr="007B274B" w:rsidRDefault="00E3662E" w:rsidP="004B2F0B">
      <w:pPr>
        <w:spacing w:after="180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Efficient conversion of all </w:t>
      </w:r>
      <w:r w:rsidR="005D0EE8">
        <w:rPr>
          <w:rFonts w:ascii="Arial" w:eastAsia="Times New Roman" w:hAnsi="Arial" w:cs="Arial"/>
          <w:color w:val="363636"/>
          <w:sz w:val="20"/>
          <w:szCs w:val="20"/>
        </w:rPr>
        <w:t xml:space="preserve">the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sugars present in lignocellulosic biomass to biofuel </w:t>
      </w:r>
      <w:r w:rsidR="00EF0269">
        <w:rPr>
          <w:rFonts w:ascii="Arial" w:eastAsia="Times New Roman" w:hAnsi="Arial" w:cs="Arial"/>
          <w:color w:val="363636"/>
          <w:sz w:val="20"/>
          <w:szCs w:val="20"/>
        </w:rPr>
        <w:t xml:space="preserve">is a remaining challenge for the biofuels industry. </w:t>
      </w:r>
      <w:r w:rsidR="008D44C8">
        <w:rPr>
          <w:rFonts w:ascii="Arial" w:eastAsia="Times New Roman" w:hAnsi="Arial" w:cs="Arial"/>
          <w:color w:val="363636"/>
          <w:sz w:val="20"/>
          <w:szCs w:val="20"/>
        </w:rPr>
        <w:t xml:space="preserve">In order to identify factors that influence xylose utilization, a stress-tolerant yeast strain was evolved for </w:t>
      </w:r>
      <w:r w:rsidR="00450C7F">
        <w:rPr>
          <w:rFonts w:ascii="Arial" w:eastAsia="Times New Roman" w:hAnsi="Arial" w:cs="Arial"/>
          <w:color w:val="363636"/>
          <w:sz w:val="20"/>
          <w:szCs w:val="20"/>
        </w:rPr>
        <w:t xml:space="preserve">enhanced </w:t>
      </w:r>
      <w:r w:rsidR="008D44C8">
        <w:rPr>
          <w:rFonts w:ascii="Arial" w:eastAsia="Times New Roman" w:hAnsi="Arial" w:cs="Arial"/>
          <w:color w:val="363636"/>
          <w:sz w:val="20"/>
          <w:szCs w:val="20"/>
        </w:rPr>
        <w:t xml:space="preserve">growth on xylose under aerobic or anaerobic </w:t>
      </w:r>
      <w:r w:rsidR="001B2AC2">
        <w:rPr>
          <w:rFonts w:ascii="Arial" w:eastAsia="Times New Roman" w:hAnsi="Arial" w:cs="Arial"/>
          <w:color w:val="363636"/>
          <w:sz w:val="20"/>
          <w:szCs w:val="20"/>
        </w:rPr>
        <w:t xml:space="preserve">growth </w:t>
      </w:r>
      <w:r w:rsidR="008D44C8">
        <w:rPr>
          <w:rFonts w:ascii="Arial" w:eastAsia="Times New Roman" w:hAnsi="Arial" w:cs="Arial"/>
          <w:color w:val="363636"/>
          <w:sz w:val="20"/>
          <w:szCs w:val="20"/>
        </w:rPr>
        <w:t>cond</w:t>
      </w:r>
      <w:r w:rsidR="003927B8">
        <w:rPr>
          <w:rFonts w:ascii="Arial" w:eastAsia="Times New Roman" w:hAnsi="Arial" w:cs="Arial"/>
          <w:color w:val="363636"/>
          <w:sz w:val="20"/>
          <w:szCs w:val="20"/>
        </w:rPr>
        <w:t xml:space="preserve">itions. </w:t>
      </w:r>
      <w:r w:rsidR="00450C7F">
        <w:rPr>
          <w:rFonts w:ascii="Arial" w:eastAsia="Times New Roman" w:hAnsi="Arial" w:cs="Arial"/>
          <w:color w:val="363636"/>
          <w:sz w:val="20"/>
          <w:szCs w:val="20"/>
        </w:rPr>
        <w:t xml:space="preserve">Rapid xylose conversion was found to be dependent on genetic interactions among 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>four genes: a xylose reductase (</w:t>
      </w:r>
      <w:r w:rsidR="00F27E47" w:rsidRPr="00D665AC">
        <w:rPr>
          <w:rFonts w:ascii="Arial" w:eastAsia="Times New Roman" w:hAnsi="Arial" w:cs="Arial"/>
          <w:i/>
          <w:color w:val="363636"/>
          <w:sz w:val="20"/>
          <w:szCs w:val="20"/>
        </w:rPr>
        <w:t>GRE3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>), a component of MAP Kinase signaling (</w:t>
      </w:r>
      <w:r w:rsidR="00F27E47" w:rsidRPr="00D665AC">
        <w:rPr>
          <w:rFonts w:ascii="Arial" w:eastAsia="Times New Roman" w:hAnsi="Arial" w:cs="Arial"/>
          <w:i/>
          <w:color w:val="363636"/>
          <w:sz w:val="20"/>
          <w:szCs w:val="20"/>
        </w:rPr>
        <w:t>HOG1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 xml:space="preserve">), a regulator of Protein Kinase A </w:t>
      </w:r>
      <w:r w:rsidR="00083BA8">
        <w:rPr>
          <w:rFonts w:ascii="Arial" w:eastAsia="Times New Roman" w:hAnsi="Arial" w:cs="Arial"/>
          <w:color w:val="363636"/>
          <w:sz w:val="20"/>
          <w:szCs w:val="20"/>
        </w:rPr>
        <w:t xml:space="preserve">(PKA) 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>signaling (</w:t>
      </w:r>
      <w:r w:rsidR="00F27E47" w:rsidRPr="00D665AC">
        <w:rPr>
          <w:rFonts w:ascii="Arial" w:eastAsia="Times New Roman" w:hAnsi="Arial" w:cs="Arial"/>
          <w:i/>
          <w:color w:val="363636"/>
          <w:sz w:val="20"/>
          <w:szCs w:val="20"/>
        </w:rPr>
        <w:t>IRA2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 xml:space="preserve">), and a scaffolding protein for mitochondrial iron-sulfur </w:t>
      </w:r>
      <w:r w:rsidR="00083BA8">
        <w:rPr>
          <w:rFonts w:ascii="Arial" w:eastAsia="Times New Roman" w:hAnsi="Arial" w:cs="Arial"/>
          <w:color w:val="363636"/>
          <w:sz w:val="20"/>
          <w:szCs w:val="20"/>
        </w:rPr>
        <w:t xml:space="preserve">(Fe-S) </w:t>
      </w:r>
      <w:r w:rsidR="00F27E47">
        <w:rPr>
          <w:rFonts w:ascii="Arial" w:eastAsia="Times New Roman" w:hAnsi="Arial" w:cs="Arial"/>
          <w:color w:val="363636"/>
          <w:sz w:val="20"/>
          <w:szCs w:val="20"/>
        </w:rPr>
        <w:t>cluster biogenesis</w:t>
      </w:r>
      <w:r w:rsidR="009C4766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r w:rsidR="009C4766" w:rsidRPr="00D665AC">
        <w:rPr>
          <w:rFonts w:ascii="Arial" w:eastAsia="Times New Roman" w:hAnsi="Arial" w:cs="Arial"/>
          <w:i/>
          <w:color w:val="363636"/>
          <w:sz w:val="20"/>
          <w:szCs w:val="20"/>
        </w:rPr>
        <w:t>ISU1</w:t>
      </w:r>
      <w:r w:rsidR="009C4766">
        <w:rPr>
          <w:rFonts w:ascii="Arial" w:eastAsia="Times New Roman" w:hAnsi="Arial" w:cs="Arial"/>
          <w:color w:val="363636"/>
          <w:sz w:val="20"/>
          <w:szCs w:val="20"/>
        </w:rPr>
        <w:t xml:space="preserve">). </w:t>
      </w:r>
      <w:r w:rsidR="00722BDB">
        <w:rPr>
          <w:rFonts w:ascii="Arial" w:eastAsia="Times New Roman" w:hAnsi="Arial" w:cs="Arial"/>
          <w:color w:val="363636"/>
          <w:sz w:val="20"/>
          <w:szCs w:val="20"/>
        </w:rPr>
        <w:t xml:space="preserve">Genetic interactions between the </w:t>
      </w:r>
      <w:r w:rsidR="00722BDB" w:rsidRPr="002A01A1">
        <w:rPr>
          <w:rFonts w:ascii="Arial" w:eastAsia="Times New Roman" w:hAnsi="Arial" w:cs="Arial"/>
          <w:i/>
          <w:color w:val="363636"/>
          <w:sz w:val="20"/>
          <w:szCs w:val="20"/>
        </w:rPr>
        <w:t>HOG1</w:t>
      </w:r>
      <w:r w:rsidR="00722BDB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722BDB" w:rsidRPr="002A01A1">
        <w:rPr>
          <w:rFonts w:ascii="Arial" w:eastAsia="Times New Roman" w:hAnsi="Arial" w:cs="Arial"/>
          <w:i/>
          <w:color w:val="363636"/>
          <w:sz w:val="20"/>
          <w:szCs w:val="20"/>
        </w:rPr>
        <w:t>ISU1</w:t>
      </w:r>
      <w:r w:rsidR="00722BDB">
        <w:rPr>
          <w:rFonts w:ascii="Arial" w:eastAsia="Times New Roman" w:hAnsi="Arial" w:cs="Arial"/>
          <w:color w:val="363636"/>
          <w:sz w:val="20"/>
          <w:szCs w:val="20"/>
        </w:rPr>
        <w:t xml:space="preserve"> mutations enabled aerobic respiration of xylose and other</w:t>
      </w:r>
      <w:r w:rsidR="00715BA4">
        <w:rPr>
          <w:rFonts w:ascii="Arial" w:eastAsia="Times New Roman" w:hAnsi="Arial" w:cs="Arial"/>
          <w:color w:val="363636"/>
          <w:sz w:val="20"/>
          <w:szCs w:val="20"/>
        </w:rPr>
        <w:t xml:space="preserve"> non-fermenta</w:t>
      </w:r>
      <w:r w:rsidR="000F5692">
        <w:rPr>
          <w:rFonts w:ascii="Arial" w:eastAsia="Times New Roman" w:hAnsi="Arial" w:cs="Arial"/>
          <w:color w:val="363636"/>
          <w:sz w:val="20"/>
          <w:szCs w:val="20"/>
        </w:rPr>
        <w:t>ble carbon sources,</w:t>
      </w:r>
      <w:r w:rsidR="002D629C">
        <w:rPr>
          <w:rFonts w:ascii="Arial" w:eastAsia="Times New Roman" w:hAnsi="Arial" w:cs="Arial"/>
          <w:color w:val="363636"/>
          <w:sz w:val="20"/>
          <w:szCs w:val="20"/>
        </w:rPr>
        <w:t xml:space="preserve"> a finding </w:t>
      </w:r>
      <w:r w:rsidR="005A3DEB">
        <w:rPr>
          <w:rFonts w:ascii="Arial" w:eastAsia="Times New Roman" w:hAnsi="Arial" w:cs="Arial"/>
          <w:color w:val="363636"/>
          <w:sz w:val="20"/>
          <w:szCs w:val="20"/>
        </w:rPr>
        <w:t>supported by proteomic analyses</w:t>
      </w:r>
      <w:r w:rsidR="000F569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5A3DEB">
        <w:rPr>
          <w:rFonts w:ascii="Arial" w:eastAsia="Times New Roman" w:hAnsi="Arial" w:cs="Arial"/>
          <w:color w:val="363636"/>
          <w:sz w:val="20"/>
          <w:szCs w:val="20"/>
        </w:rPr>
        <w:t>that showed</w:t>
      </w:r>
      <w:r w:rsidR="000F569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22BDB">
        <w:rPr>
          <w:rFonts w:ascii="Arial" w:eastAsia="Times New Roman" w:hAnsi="Arial" w:cs="Arial"/>
          <w:color w:val="363636"/>
          <w:sz w:val="20"/>
          <w:szCs w:val="20"/>
        </w:rPr>
        <w:t>elevated mitochondrial respiratory proteins</w:t>
      </w:r>
      <w:r w:rsidR="00715BA4">
        <w:rPr>
          <w:rFonts w:ascii="Arial" w:eastAsia="Times New Roman" w:hAnsi="Arial" w:cs="Arial"/>
          <w:color w:val="363636"/>
          <w:sz w:val="20"/>
          <w:szCs w:val="20"/>
        </w:rPr>
        <w:t xml:space="preserve"> under these conditions</w:t>
      </w:r>
      <w:r w:rsidR="00722BDB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715BA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D629C">
        <w:rPr>
          <w:rFonts w:ascii="Arial" w:eastAsia="Times New Roman" w:hAnsi="Arial" w:cs="Arial"/>
          <w:color w:val="363636"/>
          <w:sz w:val="20"/>
          <w:szCs w:val="20"/>
        </w:rPr>
        <w:t>In contrast, t</w:t>
      </w:r>
      <w:r w:rsidR="00C52622">
        <w:rPr>
          <w:rFonts w:ascii="Arial" w:eastAsia="Times New Roman" w:hAnsi="Arial" w:cs="Arial"/>
          <w:color w:val="363636"/>
          <w:sz w:val="20"/>
          <w:szCs w:val="20"/>
        </w:rPr>
        <w:t xml:space="preserve">he </w:t>
      </w:r>
      <w:r w:rsidR="00C52622" w:rsidRPr="00BC7423">
        <w:rPr>
          <w:rFonts w:ascii="Arial" w:eastAsia="Times New Roman" w:hAnsi="Arial" w:cs="Arial"/>
          <w:i/>
          <w:color w:val="363636"/>
          <w:sz w:val="20"/>
          <w:szCs w:val="20"/>
        </w:rPr>
        <w:t>IRA2</w:t>
      </w:r>
      <w:r w:rsidR="00C52622">
        <w:rPr>
          <w:rFonts w:ascii="Arial" w:eastAsia="Times New Roman" w:hAnsi="Arial" w:cs="Arial"/>
          <w:color w:val="363636"/>
          <w:sz w:val="20"/>
          <w:szCs w:val="20"/>
        </w:rPr>
        <w:t xml:space="preserve"> mutation</w:t>
      </w:r>
      <w:r w:rsidR="00083BA8">
        <w:rPr>
          <w:rFonts w:ascii="Arial" w:eastAsia="Times New Roman" w:hAnsi="Arial" w:cs="Arial"/>
          <w:color w:val="363636"/>
          <w:sz w:val="20"/>
          <w:szCs w:val="20"/>
        </w:rPr>
        <w:t xml:space="preserve"> only impacted anaerobic xylose use and required the loss of </w:t>
      </w:r>
      <w:r w:rsidR="00083BA8" w:rsidRPr="00BC7423">
        <w:rPr>
          <w:rFonts w:ascii="Arial" w:eastAsia="Times New Roman" w:hAnsi="Arial" w:cs="Arial"/>
          <w:i/>
          <w:color w:val="363636"/>
          <w:sz w:val="20"/>
          <w:szCs w:val="20"/>
        </w:rPr>
        <w:t>ISU1</w:t>
      </w:r>
      <w:r w:rsidR="00083BA8">
        <w:rPr>
          <w:rFonts w:ascii="Arial" w:eastAsia="Times New Roman" w:hAnsi="Arial" w:cs="Arial"/>
          <w:color w:val="363636"/>
          <w:sz w:val="20"/>
          <w:szCs w:val="20"/>
        </w:rPr>
        <w:t xml:space="preserve"> function, indicating a previously unknown connection between PKA signaling, Fe-S cluster biogenesis, and </w:t>
      </w:r>
      <w:proofErr w:type="spellStart"/>
      <w:r w:rsidR="00083BA8">
        <w:rPr>
          <w:rFonts w:ascii="Arial" w:eastAsia="Times New Roman" w:hAnsi="Arial" w:cs="Arial"/>
          <w:color w:val="363636"/>
          <w:sz w:val="20"/>
          <w:szCs w:val="20"/>
        </w:rPr>
        <w:t>anaerobiosis</w:t>
      </w:r>
      <w:proofErr w:type="spellEnd"/>
      <w:r w:rsidR="00083BA8">
        <w:rPr>
          <w:rFonts w:ascii="Arial" w:eastAsia="Times New Roman" w:hAnsi="Arial" w:cs="Arial"/>
          <w:color w:val="363636"/>
          <w:sz w:val="20"/>
          <w:szCs w:val="20"/>
        </w:rPr>
        <w:t>.</w:t>
      </w:r>
      <w:r w:rsidR="00B431C5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D629C">
        <w:rPr>
          <w:rFonts w:ascii="Arial" w:eastAsia="Times New Roman" w:hAnsi="Arial" w:cs="Arial"/>
          <w:color w:val="363636"/>
          <w:sz w:val="20"/>
          <w:szCs w:val="20"/>
        </w:rPr>
        <w:t xml:space="preserve">Taken </w:t>
      </w:r>
      <w:r w:rsidR="000F2851">
        <w:rPr>
          <w:rFonts w:ascii="Arial" w:eastAsia="Times New Roman" w:hAnsi="Arial" w:cs="Arial"/>
          <w:color w:val="363636"/>
          <w:sz w:val="20"/>
          <w:szCs w:val="20"/>
        </w:rPr>
        <w:t xml:space="preserve">together this study provides </w:t>
      </w:r>
      <w:r w:rsidR="00087874">
        <w:rPr>
          <w:rFonts w:ascii="Arial" w:eastAsia="Times New Roman" w:hAnsi="Arial" w:cs="Arial"/>
          <w:color w:val="363636"/>
          <w:sz w:val="20"/>
          <w:szCs w:val="20"/>
        </w:rPr>
        <w:t xml:space="preserve">new </w:t>
      </w:r>
      <w:r w:rsidR="00C062E1">
        <w:rPr>
          <w:rFonts w:ascii="Arial" w:eastAsia="Times New Roman" w:hAnsi="Arial" w:cs="Arial"/>
          <w:color w:val="363636"/>
          <w:sz w:val="20"/>
          <w:szCs w:val="20"/>
        </w:rPr>
        <w:t>insights on routes to improved</w:t>
      </w:r>
      <w:r w:rsidR="002D629C">
        <w:rPr>
          <w:rFonts w:ascii="Arial" w:eastAsia="Times New Roman" w:hAnsi="Arial" w:cs="Arial"/>
          <w:color w:val="363636"/>
          <w:sz w:val="20"/>
          <w:szCs w:val="20"/>
        </w:rPr>
        <w:t xml:space="preserve"> xylose utilization</w:t>
      </w:r>
      <w:r w:rsidR="00EB1DAC">
        <w:rPr>
          <w:rFonts w:ascii="Arial" w:eastAsia="Times New Roman" w:hAnsi="Arial" w:cs="Arial"/>
          <w:color w:val="363636"/>
          <w:sz w:val="20"/>
          <w:szCs w:val="20"/>
        </w:rPr>
        <w:t xml:space="preserve"> in yeast</w:t>
      </w:r>
      <w:r w:rsidR="00E9127A">
        <w:rPr>
          <w:rFonts w:ascii="Arial" w:eastAsia="Times New Roman" w:hAnsi="Arial" w:cs="Arial"/>
          <w:color w:val="363636"/>
          <w:sz w:val="20"/>
          <w:szCs w:val="20"/>
        </w:rPr>
        <w:t xml:space="preserve"> and deeper knowledge of the signaling that governs sugar utilization.</w:t>
      </w:r>
    </w:p>
    <w:p w14:paraId="584A0021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29F3E801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1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0D182510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7252A137" w14:textId="7D17D2B5" w:rsidR="009A66FB" w:rsidRDefault="00996721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Trey Sato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r>
        <w:rPr>
          <w:rFonts w:ascii="Arial" w:eastAsia="Times New Roman" w:hAnsi="Arial" w:cs="Arial"/>
          <w:color w:val="363636"/>
          <w:sz w:val="20"/>
          <w:szCs w:val="20"/>
        </w:rPr>
        <w:t>University of Wisconsin - Madison</w:t>
      </w:r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996721">
          <w:rPr>
            <w:rStyle w:val="Hyperlink"/>
            <w:rFonts w:ascii="Arial" w:eastAsia="Times New Roman" w:hAnsi="Arial" w:cs="Arial"/>
            <w:sz w:val="20"/>
            <w:szCs w:val="20"/>
          </w:rPr>
          <w:t>tksato@glbrc.wisc.edu</w:t>
        </w:r>
      </w:hyperlink>
      <w:r w:rsidR="009A66FB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55E72606" w14:textId="77777777" w:rsidR="009C78C9" w:rsidRPr="007B274B" w:rsidRDefault="009C78C9" w:rsidP="009C78C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lastRenderedPageBreak/>
        <w:t>Funding</w:t>
      </w:r>
    </w:p>
    <w:p w14:paraId="781C5584" w14:textId="5320F104" w:rsidR="007B274B" w:rsidRPr="009B583D" w:rsidRDefault="009C78C9" w:rsidP="004B2F0B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9B583D">
        <w:rPr>
          <w:rFonts w:ascii="Arial" w:eastAsia="Times New Roman" w:hAnsi="Arial" w:cs="Arial"/>
          <w:sz w:val="20"/>
          <w:szCs w:val="20"/>
        </w:rPr>
        <w:t>This work was funded by the DOE Great Lakes Bioenergy Research Center (DOE BER Office of Science DE-FC02-07ER64494)</w:t>
      </w:r>
      <w:r w:rsidR="00791284" w:rsidRPr="009B583D">
        <w:rPr>
          <w:rFonts w:ascii="Arial" w:hAnsi="Arial" w:cs="Arial"/>
          <w:bCs/>
          <w:sz w:val="20"/>
          <w:szCs w:val="20"/>
        </w:rPr>
        <w:t xml:space="preserve">, the Pew Charitable Trusts, </w:t>
      </w:r>
      <w:r w:rsidR="00FD7EA7">
        <w:rPr>
          <w:rFonts w:ascii="Arial" w:hAnsi="Arial" w:cs="Arial"/>
          <w:bCs/>
          <w:sz w:val="20"/>
          <w:szCs w:val="20"/>
        </w:rPr>
        <w:t xml:space="preserve">and </w:t>
      </w:r>
      <w:r w:rsidR="00791284" w:rsidRPr="009B583D">
        <w:rPr>
          <w:rFonts w:ascii="Arial" w:hAnsi="Arial" w:cs="Arial"/>
          <w:bCs/>
          <w:sz w:val="20"/>
          <w:szCs w:val="20"/>
        </w:rPr>
        <w:t>the Alexander von Humboldt Foundation</w:t>
      </w:r>
      <w:r w:rsidR="00FD7EA7">
        <w:rPr>
          <w:rFonts w:ascii="Arial" w:hAnsi="Arial" w:cs="Arial"/>
          <w:bCs/>
          <w:sz w:val="20"/>
          <w:szCs w:val="20"/>
        </w:rPr>
        <w:t>. Additional author support was provided by</w:t>
      </w:r>
      <w:r w:rsidR="00791284" w:rsidRPr="009B583D">
        <w:rPr>
          <w:rFonts w:ascii="Arial" w:hAnsi="Arial" w:cs="Arial"/>
          <w:bCs/>
          <w:sz w:val="20"/>
          <w:szCs w:val="20"/>
        </w:rPr>
        <w:t xml:space="preserve"> </w:t>
      </w:r>
      <w:r w:rsidR="00650AC4" w:rsidRPr="009B583D">
        <w:rPr>
          <w:rFonts w:ascii="Arial" w:hAnsi="Arial" w:cs="Arial"/>
          <w:bCs/>
          <w:sz w:val="20"/>
          <w:szCs w:val="20"/>
        </w:rPr>
        <w:t xml:space="preserve">a </w:t>
      </w:r>
      <w:proofErr w:type="spellStart"/>
      <w:r w:rsidR="00650AC4" w:rsidRPr="009B583D">
        <w:rPr>
          <w:rFonts w:ascii="Arial" w:hAnsi="Arial" w:cs="Arial"/>
          <w:bCs/>
          <w:sz w:val="20"/>
          <w:szCs w:val="20"/>
        </w:rPr>
        <w:t>predoctoral</w:t>
      </w:r>
      <w:proofErr w:type="spellEnd"/>
      <w:r w:rsidR="00650AC4" w:rsidRPr="009B583D">
        <w:rPr>
          <w:rFonts w:ascii="Arial" w:hAnsi="Arial" w:cs="Arial"/>
          <w:bCs/>
          <w:sz w:val="20"/>
          <w:szCs w:val="20"/>
        </w:rPr>
        <w:t xml:space="preserve"> NSF fellowship.</w:t>
      </w:r>
    </w:p>
    <w:p w14:paraId="72099D17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6866A0F7" w14:textId="3170FBE2" w:rsidR="00C87313" w:rsidRPr="0039332B" w:rsidRDefault="00C87313" w:rsidP="004B2F0B">
      <w:pPr>
        <w:spacing w:after="0"/>
        <w:rPr>
          <w:rFonts w:ascii="Arial" w:hAnsi="Arial" w:cs="Arial"/>
          <w:noProof/>
          <w:sz w:val="21"/>
        </w:rPr>
      </w:pPr>
      <w:r w:rsidRPr="004B2F0B">
        <w:rPr>
          <w:rFonts w:ascii="Arial" w:hAnsi="Arial" w:cs="Arial"/>
          <w:noProof/>
          <w:sz w:val="21"/>
        </w:rPr>
        <w:t>Sato, T. K.</w:t>
      </w:r>
      <w:r w:rsidRPr="004B2F0B">
        <w:rPr>
          <w:rFonts w:ascii="Arial" w:hAnsi="Arial" w:cs="Arial"/>
          <w:i/>
          <w:noProof/>
          <w:sz w:val="21"/>
        </w:rPr>
        <w:t xml:space="preserve"> et al.</w:t>
      </w:r>
      <w:r w:rsidRPr="004B2F0B">
        <w:rPr>
          <w:rFonts w:ascii="Arial" w:hAnsi="Arial" w:cs="Arial"/>
          <w:noProof/>
          <w:sz w:val="21"/>
        </w:rPr>
        <w:t xml:space="preserve"> Directed evolution reveals unexpected epistatic interactions that alter metabolic regulation and enable anaerobic xylose use by </w:t>
      </w:r>
      <w:r w:rsidRPr="004B2F0B">
        <w:rPr>
          <w:rFonts w:ascii="Arial" w:hAnsi="Arial" w:cs="Arial"/>
          <w:i/>
          <w:noProof/>
          <w:sz w:val="21"/>
        </w:rPr>
        <w:t>Saccharomyces cerevisiae</w:t>
      </w:r>
      <w:r w:rsidRPr="004B2F0B">
        <w:rPr>
          <w:rFonts w:ascii="Arial" w:hAnsi="Arial" w:cs="Arial"/>
          <w:noProof/>
          <w:sz w:val="21"/>
        </w:rPr>
        <w:t xml:space="preserve">. </w:t>
      </w:r>
      <w:r w:rsidRPr="004B2F0B">
        <w:rPr>
          <w:rFonts w:ascii="Arial" w:hAnsi="Arial" w:cs="Arial"/>
          <w:i/>
          <w:noProof/>
          <w:sz w:val="21"/>
        </w:rPr>
        <w:t>PLOS Genetics</w:t>
      </w:r>
      <w:r w:rsidRPr="004B2F0B">
        <w:rPr>
          <w:rFonts w:ascii="Arial" w:hAnsi="Arial" w:cs="Arial"/>
          <w:noProof/>
          <w:sz w:val="21"/>
        </w:rPr>
        <w:t xml:space="preserve"> (2016)</w:t>
      </w:r>
      <w:r w:rsidR="00FA0BF5" w:rsidRPr="004B2F0B">
        <w:rPr>
          <w:rFonts w:ascii="Arial" w:hAnsi="Arial" w:cs="Arial"/>
          <w:noProof/>
          <w:sz w:val="21"/>
        </w:rPr>
        <w:t xml:space="preserve"> </w:t>
      </w:r>
      <w:r w:rsidR="0039332B" w:rsidRPr="0039332B">
        <w:rPr>
          <w:rFonts w:ascii="Arial" w:hAnsi="Arial" w:cs="Arial"/>
          <w:noProof/>
          <w:sz w:val="21"/>
        </w:rPr>
        <w:t>[</w:t>
      </w:r>
      <w:r w:rsidR="00FA0BF5" w:rsidRPr="0039332B">
        <w:rPr>
          <w:rFonts w:ascii="Arial" w:hAnsi="Arial" w:cs="Arial"/>
          <w:noProof/>
          <w:sz w:val="21"/>
        </w:rPr>
        <w:t>DOI</w:t>
      </w:r>
      <w:r w:rsidR="0039332B" w:rsidRPr="0039332B">
        <w:rPr>
          <w:rFonts w:ascii="Arial" w:hAnsi="Arial" w:cs="Arial"/>
          <w:noProof/>
          <w:sz w:val="21"/>
        </w:rPr>
        <w:t>:</w:t>
      </w:r>
      <w:r w:rsidR="0039332B">
        <w:rPr>
          <w:rFonts w:ascii="Arial" w:hAnsi="Arial" w:cs="Arial"/>
          <w:noProof/>
          <w:sz w:val="21"/>
        </w:rPr>
        <w:t xml:space="preserve"> </w:t>
      </w:r>
      <w:r w:rsidR="0039332B" w:rsidRPr="00C24153">
        <w:rPr>
          <w:rFonts w:ascii="Arial" w:hAnsi="Arial" w:cs="Arial"/>
          <w:noProof/>
          <w:sz w:val="21"/>
        </w:rPr>
        <w:t>10.1371/journal.pgen.1006372</w:t>
      </w:r>
      <w:r w:rsidR="0039332B">
        <w:rPr>
          <w:rFonts w:ascii="Arial" w:hAnsi="Arial" w:cs="Arial"/>
          <w:noProof/>
          <w:sz w:val="21"/>
        </w:rPr>
        <w:t>]</w:t>
      </w:r>
    </w:p>
    <w:p w14:paraId="320E0C77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  <w:bookmarkStart w:id="0" w:name="_GoBack"/>
      <w:bookmarkEnd w:id="0"/>
    </w:p>
    <w:p w14:paraId="578AEDA4" w14:textId="1DD03EE3" w:rsidR="003D7197" w:rsidRDefault="003D7197" w:rsidP="00641A5E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hyperlink r:id="rId13" w:history="1">
        <w:r w:rsidRPr="00DE5BF7">
          <w:rPr>
            <w:rStyle w:val="Hyperlink"/>
            <w:rFonts w:ascii="Arial" w:eastAsia="Times New Roman" w:hAnsi="Arial" w:cs="Arial"/>
            <w:sz w:val="20"/>
            <w:szCs w:val="20"/>
          </w:rPr>
          <w:t>http://journals.plos.org/plosgenetics/article?id=10.1371/journal.pgen.1006372</w:t>
        </w:r>
      </w:hyperlink>
    </w:p>
    <w:p w14:paraId="03EC8A7E" w14:textId="7F976279" w:rsidR="0039332B" w:rsidRDefault="0039332B" w:rsidP="0026738D">
      <w:pPr>
        <w:spacing w:after="120"/>
        <w:rPr>
          <w:rFonts w:ascii="Arial" w:eastAsia="Times New Roman" w:hAnsi="Arial" w:cs="Arial"/>
          <w:color w:val="363636"/>
          <w:sz w:val="20"/>
          <w:szCs w:val="20"/>
        </w:rPr>
      </w:pPr>
      <w:hyperlink r:id="rId14" w:history="1">
        <w:r w:rsidRPr="00DE5BF7">
          <w:rPr>
            <w:rStyle w:val="Hyperlink"/>
            <w:rFonts w:ascii="Arial" w:eastAsia="Times New Roman" w:hAnsi="Arial" w:cs="Arial"/>
            <w:sz w:val="20"/>
            <w:szCs w:val="20"/>
          </w:rPr>
          <w:t>https://www.glbrc.org/news/super-yeast-has-power-improve-economics-biofuels</w:t>
        </w:r>
      </w:hyperlink>
    </w:p>
    <w:p w14:paraId="1CA9E1AC" w14:textId="2489B2C1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3C433FA7" w14:textId="77777777" w:rsidR="00175E67" w:rsidRDefault="00175E67" w:rsidP="0026738D">
      <w:pPr>
        <w:spacing w:after="120"/>
      </w:pPr>
      <w:r w:rsidRPr="00175E67">
        <w:t>[</w:t>
      </w:r>
      <w:r>
        <w:t>Yes or No</w:t>
      </w:r>
      <w:r w:rsidRPr="00175E67">
        <w:t>]</w:t>
      </w:r>
    </w:p>
    <w:p w14:paraId="19F78679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BBC97" w14:textId="77777777" w:rsidR="00B144F0" w:rsidRDefault="00B144F0" w:rsidP="000B4810">
      <w:pPr>
        <w:spacing w:after="0" w:line="240" w:lineRule="auto"/>
      </w:pPr>
      <w:r>
        <w:separator/>
      </w:r>
    </w:p>
  </w:endnote>
  <w:endnote w:type="continuationSeparator" w:id="0">
    <w:p w14:paraId="1334CACA" w14:textId="77777777" w:rsidR="00B144F0" w:rsidRDefault="00B144F0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1104F" w14:textId="77777777" w:rsidR="00B144F0" w:rsidRDefault="00B144F0" w:rsidP="000B4810">
      <w:pPr>
        <w:spacing w:after="0" w:line="240" w:lineRule="auto"/>
      </w:pPr>
      <w:r>
        <w:separator/>
      </w:r>
    </w:p>
  </w:footnote>
  <w:footnote w:type="continuationSeparator" w:id="0">
    <w:p w14:paraId="1B2A942C" w14:textId="77777777" w:rsidR="00B144F0" w:rsidRDefault="00B144F0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2FC44511" w14:textId="62FCE1DF" w:rsidR="00087874" w:rsidRPr="004F42BF" w:rsidRDefault="00087874" w:rsidP="004F42BF">
        <w:pPr>
          <w:pStyle w:val="Header"/>
          <w:shd w:val="clear" w:color="auto" w:fill="004285"/>
          <w:jc w:val="center"/>
          <w:rPr>
            <w:color w:val="FFFFFF" w:themeColor="background1"/>
            <w:sz w:val="20"/>
          </w:rPr>
        </w:pPr>
        <w:r w:rsidRPr="004B2F0B">
          <w:rPr>
            <w:b/>
            <w:color w:val="FFFFFF" w:themeColor="background1"/>
            <w:sz w:val="24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</w:t>
        </w:r>
      </w:p>
    </w:sdtContent>
  </w:sdt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15CE8"/>
    <w:rsid w:val="00083BA8"/>
    <w:rsid w:val="00087874"/>
    <w:rsid w:val="000B4810"/>
    <w:rsid w:val="000B484E"/>
    <w:rsid w:val="000C0BC5"/>
    <w:rsid w:val="000D498A"/>
    <w:rsid w:val="000F2851"/>
    <w:rsid w:val="000F5692"/>
    <w:rsid w:val="000F6F58"/>
    <w:rsid w:val="0010385D"/>
    <w:rsid w:val="0011329C"/>
    <w:rsid w:val="001658A3"/>
    <w:rsid w:val="0016751E"/>
    <w:rsid w:val="00175E67"/>
    <w:rsid w:val="00192A66"/>
    <w:rsid w:val="001A097C"/>
    <w:rsid w:val="001A2CBE"/>
    <w:rsid w:val="001A746A"/>
    <w:rsid w:val="001B2AC2"/>
    <w:rsid w:val="001D66F0"/>
    <w:rsid w:val="001F1A95"/>
    <w:rsid w:val="001F5864"/>
    <w:rsid w:val="00211CC7"/>
    <w:rsid w:val="00214EBB"/>
    <w:rsid w:val="0021623B"/>
    <w:rsid w:val="00233DC8"/>
    <w:rsid w:val="00247EA0"/>
    <w:rsid w:val="00253541"/>
    <w:rsid w:val="0025497A"/>
    <w:rsid w:val="00257E2C"/>
    <w:rsid w:val="002653F8"/>
    <w:rsid w:val="0026738D"/>
    <w:rsid w:val="00290B1F"/>
    <w:rsid w:val="002A01A1"/>
    <w:rsid w:val="002A79E7"/>
    <w:rsid w:val="002D5D75"/>
    <w:rsid w:val="002D629C"/>
    <w:rsid w:val="002E42A2"/>
    <w:rsid w:val="002F4910"/>
    <w:rsid w:val="002F5B5E"/>
    <w:rsid w:val="003032BF"/>
    <w:rsid w:val="00337F48"/>
    <w:rsid w:val="00355F66"/>
    <w:rsid w:val="00370143"/>
    <w:rsid w:val="00383BB6"/>
    <w:rsid w:val="003927B8"/>
    <w:rsid w:val="0039332B"/>
    <w:rsid w:val="003D6778"/>
    <w:rsid w:val="003D7197"/>
    <w:rsid w:val="004059E4"/>
    <w:rsid w:val="0042647A"/>
    <w:rsid w:val="00450C7F"/>
    <w:rsid w:val="00481AB9"/>
    <w:rsid w:val="00482FB6"/>
    <w:rsid w:val="004919C4"/>
    <w:rsid w:val="004A0E03"/>
    <w:rsid w:val="004B2F0B"/>
    <w:rsid w:val="004F42BF"/>
    <w:rsid w:val="00500309"/>
    <w:rsid w:val="00500BB6"/>
    <w:rsid w:val="005332DD"/>
    <w:rsid w:val="00535DFF"/>
    <w:rsid w:val="00544AE5"/>
    <w:rsid w:val="00571E3A"/>
    <w:rsid w:val="00571E7D"/>
    <w:rsid w:val="005819FC"/>
    <w:rsid w:val="0058293D"/>
    <w:rsid w:val="00587403"/>
    <w:rsid w:val="00593254"/>
    <w:rsid w:val="005A3DEB"/>
    <w:rsid w:val="005A7F32"/>
    <w:rsid w:val="005B537F"/>
    <w:rsid w:val="005C4E24"/>
    <w:rsid w:val="005D0EE8"/>
    <w:rsid w:val="005E2DC4"/>
    <w:rsid w:val="005F7FC7"/>
    <w:rsid w:val="00607507"/>
    <w:rsid w:val="0062442A"/>
    <w:rsid w:val="00636AC8"/>
    <w:rsid w:val="00636FEB"/>
    <w:rsid w:val="00641A5E"/>
    <w:rsid w:val="00646A02"/>
    <w:rsid w:val="00650AC4"/>
    <w:rsid w:val="006542B3"/>
    <w:rsid w:val="00673449"/>
    <w:rsid w:val="0068372E"/>
    <w:rsid w:val="006859DD"/>
    <w:rsid w:val="0069747D"/>
    <w:rsid w:val="006A795A"/>
    <w:rsid w:val="006C6B37"/>
    <w:rsid w:val="006D4699"/>
    <w:rsid w:val="006F7D7C"/>
    <w:rsid w:val="00711982"/>
    <w:rsid w:val="00715BA4"/>
    <w:rsid w:val="00716D69"/>
    <w:rsid w:val="00722BDB"/>
    <w:rsid w:val="00733489"/>
    <w:rsid w:val="007432D1"/>
    <w:rsid w:val="00744B11"/>
    <w:rsid w:val="00745A65"/>
    <w:rsid w:val="0074746D"/>
    <w:rsid w:val="007513D0"/>
    <w:rsid w:val="007613CC"/>
    <w:rsid w:val="00761F9E"/>
    <w:rsid w:val="00791284"/>
    <w:rsid w:val="007B274B"/>
    <w:rsid w:val="007B53AA"/>
    <w:rsid w:val="007C2943"/>
    <w:rsid w:val="007C52C5"/>
    <w:rsid w:val="007F3D15"/>
    <w:rsid w:val="007F6B33"/>
    <w:rsid w:val="00801572"/>
    <w:rsid w:val="0082296E"/>
    <w:rsid w:val="00825983"/>
    <w:rsid w:val="00826949"/>
    <w:rsid w:val="00843576"/>
    <w:rsid w:val="00845AFF"/>
    <w:rsid w:val="008508EC"/>
    <w:rsid w:val="00850A3D"/>
    <w:rsid w:val="00873AC2"/>
    <w:rsid w:val="00874C5E"/>
    <w:rsid w:val="00876127"/>
    <w:rsid w:val="008812B8"/>
    <w:rsid w:val="008829EB"/>
    <w:rsid w:val="008B7C10"/>
    <w:rsid w:val="008C0CBD"/>
    <w:rsid w:val="008C23B0"/>
    <w:rsid w:val="008D44C8"/>
    <w:rsid w:val="008D4B8D"/>
    <w:rsid w:val="008E6D5B"/>
    <w:rsid w:val="00902C20"/>
    <w:rsid w:val="00935692"/>
    <w:rsid w:val="00943D18"/>
    <w:rsid w:val="0095446D"/>
    <w:rsid w:val="00992381"/>
    <w:rsid w:val="00996721"/>
    <w:rsid w:val="00996F03"/>
    <w:rsid w:val="009971C1"/>
    <w:rsid w:val="009A66FB"/>
    <w:rsid w:val="009B583D"/>
    <w:rsid w:val="009C37A7"/>
    <w:rsid w:val="009C4766"/>
    <w:rsid w:val="009C78C9"/>
    <w:rsid w:val="009D581F"/>
    <w:rsid w:val="009D766D"/>
    <w:rsid w:val="009F61EB"/>
    <w:rsid w:val="00A11F18"/>
    <w:rsid w:val="00A27293"/>
    <w:rsid w:val="00A35641"/>
    <w:rsid w:val="00A5359A"/>
    <w:rsid w:val="00A72A19"/>
    <w:rsid w:val="00AE7790"/>
    <w:rsid w:val="00B144F0"/>
    <w:rsid w:val="00B217FC"/>
    <w:rsid w:val="00B32821"/>
    <w:rsid w:val="00B41B01"/>
    <w:rsid w:val="00B42D64"/>
    <w:rsid w:val="00B431C5"/>
    <w:rsid w:val="00B45C4C"/>
    <w:rsid w:val="00B5039B"/>
    <w:rsid w:val="00B62030"/>
    <w:rsid w:val="00B66E18"/>
    <w:rsid w:val="00B81046"/>
    <w:rsid w:val="00B81E67"/>
    <w:rsid w:val="00BA3D92"/>
    <w:rsid w:val="00BB3BD6"/>
    <w:rsid w:val="00BB7E2C"/>
    <w:rsid w:val="00BC7423"/>
    <w:rsid w:val="00BD2EE7"/>
    <w:rsid w:val="00BD4E92"/>
    <w:rsid w:val="00C02CCD"/>
    <w:rsid w:val="00C062E1"/>
    <w:rsid w:val="00C24153"/>
    <w:rsid w:val="00C27BA7"/>
    <w:rsid w:val="00C32F99"/>
    <w:rsid w:val="00C420C2"/>
    <w:rsid w:val="00C525E6"/>
    <w:rsid w:val="00C52622"/>
    <w:rsid w:val="00C54780"/>
    <w:rsid w:val="00C551D8"/>
    <w:rsid w:val="00C57577"/>
    <w:rsid w:val="00C702C6"/>
    <w:rsid w:val="00C87313"/>
    <w:rsid w:val="00C93BC1"/>
    <w:rsid w:val="00CA72ED"/>
    <w:rsid w:val="00CB4C43"/>
    <w:rsid w:val="00D30620"/>
    <w:rsid w:val="00D3194B"/>
    <w:rsid w:val="00D36E52"/>
    <w:rsid w:val="00D43043"/>
    <w:rsid w:val="00D453BA"/>
    <w:rsid w:val="00D6358C"/>
    <w:rsid w:val="00D644E2"/>
    <w:rsid w:val="00D665AC"/>
    <w:rsid w:val="00DB6B14"/>
    <w:rsid w:val="00DD5066"/>
    <w:rsid w:val="00DF251B"/>
    <w:rsid w:val="00E02D4F"/>
    <w:rsid w:val="00E0430B"/>
    <w:rsid w:val="00E0604F"/>
    <w:rsid w:val="00E31609"/>
    <w:rsid w:val="00E3662E"/>
    <w:rsid w:val="00E564B3"/>
    <w:rsid w:val="00E777FB"/>
    <w:rsid w:val="00E83805"/>
    <w:rsid w:val="00E9127A"/>
    <w:rsid w:val="00E94218"/>
    <w:rsid w:val="00EA7538"/>
    <w:rsid w:val="00EB1DAC"/>
    <w:rsid w:val="00EE05AE"/>
    <w:rsid w:val="00EE4DB6"/>
    <w:rsid w:val="00EF0269"/>
    <w:rsid w:val="00F01731"/>
    <w:rsid w:val="00F23CEA"/>
    <w:rsid w:val="00F27E47"/>
    <w:rsid w:val="00F51661"/>
    <w:rsid w:val="00FA0BF5"/>
    <w:rsid w:val="00FA38A3"/>
    <w:rsid w:val="00FC1B06"/>
    <w:rsid w:val="00FD7EA7"/>
    <w:rsid w:val="00FE0470"/>
    <w:rsid w:val="00FE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9924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kent.peters@science.doe.gov" TargetMode="External"/><Relationship Id="rId12" Type="http://schemas.openxmlformats.org/officeDocument/2006/relationships/hyperlink" Target="tksato@glbrc.wisc.edu" TargetMode="External"/><Relationship Id="rId13" Type="http://schemas.openxmlformats.org/officeDocument/2006/relationships/hyperlink" Target="http://journals.plos.org/plosgenetics/article?id=10.1371/journal.pgen.1006372" TargetMode="External"/><Relationship Id="rId14" Type="http://schemas.openxmlformats.org/officeDocument/2006/relationships/hyperlink" Target="https://www.glbrc.org/news/super-yeast-has-power-improve-economics-biofuels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nielsen:Library:Caches:TemporaryItems:Outlook%20Temp:BER%20Highlight_nkp_Template_2015-1-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682945" w:rsidRDefault="00682945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945"/>
    <w:rsid w:val="00531F8F"/>
    <w:rsid w:val="0068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FA584C7BC1777541B75584E3897A0909">
    <w:name w:val="FA584C7BC1777541B75584E3897A0909"/>
    <w:rsid w:val="006829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HUBDOC-169-546</_dlc_DocId>
    <_dlc_DocIdUrl xmlns="f66da2ca-f37c-4205-929f-e8e9af1907d3">
      <Url>https://intranet.wei.wisc.edu/glbrc/doe/_layouts/15/DocIdRedir.aspx?ID=HUBDOC-169-546</Url>
      <Description>HUBDOC-169-546</Description>
    </_dlc_DocIdUrl>
  </documentManagement>
</p:properties>
</file>

<file path=customXml/itemProps1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HD:Users:tnielsen:Library:Caches:TemporaryItems:Outlook Temp:BER Highlight_nkp_Template_2015-1-6.dotx</Template>
  <TotalTime>4</TotalTime>
  <Pages>2</Pages>
  <Words>564</Words>
  <Characters>3220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Microsoft Office User</cp:lastModifiedBy>
  <cp:revision>5</cp:revision>
  <cp:lastPrinted>2016-10-10T17:37:00Z</cp:lastPrinted>
  <dcterms:created xsi:type="dcterms:W3CDTF">2016-10-12T20:54:00Z</dcterms:created>
  <dcterms:modified xsi:type="dcterms:W3CDTF">2016-10-14T18:03:00Z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1f057604-014c-49e7-acc0-f965283963f3</vt:lpwstr>
  </property>
  <property fmtid="{D5CDD505-2E9C-101B-9397-08002B2CF9AE}" pid="4" name="TaxKeyword">
    <vt:lpwstr/>
  </property>
</Properties>
</file>