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F399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3BF14005" w14:textId="77777777" w:rsidR="00527825" w:rsidRPr="00527825" w:rsidRDefault="00527825" w:rsidP="00527825">
      <w:pPr>
        <w:rPr>
          <w:rFonts w:asciiTheme="minorHAnsi" w:eastAsiaTheme="minorHAnsi" w:hAnsiTheme="minorHAnsi" w:cs="AdvOTb65e897d.B"/>
          <w:b/>
          <w:szCs w:val="22"/>
        </w:rPr>
      </w:pPr>
      <w:r w:rsidRPr="00527825">
        <w:rPr>
          <w:rFonts w:asciiTheme="minorHAnsi" w:eastAsiaTheme="minorHAnsi" w:hAnsiTheme="minorHAnsi" w:cs="AdvOTb65e897d.B"/>
          <w:b/>
          <w:bCs/>
          <w:szCs w:val="22"/>
        </w:rPr>
        <w:t>Identifying representative corn rotation patterns in the US Western Corn Belt</w:t>
      </w:r>
    </w:p>
    <w:p w14:paraId="2D2C653D" w14:textId="4D676C73" w:rsidR="00923AFD" w:rsidRPr="00767F72" w:rsidRDefault="00281796" w:rsidP="00767F72">
      <w:pPr>
        <w:rPr>
          <w:rFonts w:asciiTheme="minorHAnsi" w:eastAsiaTheme="minorHAnsi" w:hAnsiTheme="minorHAnsi" w:cs="AdvOTb65e897d.B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 xml:space="preserve">Crop rotations </w:t>
      </w:r>
      <w:r w:rsidR="000C5951">
        <w:rPr>
          <w:rFonts w:asciiTheme="minorHAnsi" w:eastAsiaTheme="minorHAnsi" w:hAnsiTheme="minorHAnsi" w:cs="AdvOTb65e897d.B"/>
          <w:szCs w:val="22"/>
        </w:rPr>
        <w:t>are a key element of</w:t>
      </w:r>
      <w:r>
        <w:rPr>
          <w:rFonts w:asciiTheme="minorHAnsi" w:eastAsiaTheme="minorHAnsi" w:hAnsiTheme="minorHAnsi" w:cs="AdvOTb65e897d.B"/>
          <w:szCs w:val="22"/>
        </w:rPr>
        <w:t xml:space="preserve"> agronomic management, as they can influence key ecosystem services such as crop yields, carbon and nutrient cycling, soil erosion, water quality</w:t>
      </w:r>
      <w:r w:rsidR="000C5951">
        <w:rPr>
          <w:rFonts w:asciiTheme="minorHAnsi" w:eastAsiaTheme="minorHAnsi" w:hAnsiTheme="minorHAnsi" w:cs="AdvOTb65e897d.B"/>
          <w:szCs w:val="22"/>
        </w:rPr>
        <w:t xml:space="preserve">, and pest and disease control. </w:t>
      </w:r>
      <w:r w:rsidR="00332ED8">
        <w:rPr>
          <w:rFonts w:asciiTheme="minorHAnsi" w:eastAsiaTheme="minorHAnsi" w:hAnsiTheme="minorHAnsi" w:cs="AdvOTb65e897d.B"/>
          <w:szCs w:val="22"/>
        </w:rPr>
        <w:t>Despite the availability of databases which provide remotely sensed data on crop types in the US on a yearly basis, such as the C</w:t>
      </w:r>
      <w:r w:rsidR="003534F4">
        <w:rPr>
          <w:rFonts w:asciiTheme="minorHAnsi" w:eastAsiaTheme="minorHAnsi" w:hAnsiTheme="minorHAnsi" w:cs="AdvOTb65e897d.B"/>
          <w:szCs w:val="22"/>
        </w:rPr>
        <w:t>r</w:t>
      </w:r>
      <w:r w:rsidR="00332ED8">
        <w:rPr>
          <w:rFonts w:asciiTheme="minorHAnsi" w:eastAsiaTheme="minorHAnsi" w:hAnsiTheme="minorHAnsi" w:cs="AdvOTb65e897d.B"/>
          <w:szCs w:val="22"/>
        </w:rPr>
        <w:t xml:space="preserve">opland Data Layer (CDL), crop rotation patterns remain poorly mapped due to the lack of tools that allow for efficient and consistent analysis of multi-year CDLs. </w:t>
      </w:r>
      <w:r w:rsidR="0076049D">
        <w:rPr>
          <w:rFonts w:asciiTheme="minorHAnsi" w:eastAsiaTheme="minorHAnsi" w:hAnsiTheme="minorHAnsi" w:cs="AdvOTb65e897d.B"/>
          <w:szCs w:val="22"/>
        </w:rPr>
        <w:t>Researchers in the DOE’s Great Lakes Bioe</w:t>
      </w:r>
      <w:r w:rsidR="00332ED8">
        <w:rPr>
          <w:rFonts w:asciiTheme="minorHAnsi" w:eastAsiaTheme="minorHAnsi" w:hAnsiTheme="minorHAnsi" w:cs="AdvOTb65e897d.B"/>
          <w:szCs w:val="22"/>
        </w:rPr>
        <w:t>nergy Research Center created an algorithm -“Representative Crop Rotations Using Edit Distance” (RECRUIT)- that can select representative crop rot</w:t>
      </w:r>
      <w:bookmarkStart w:id="0" w:name="_GoBack"/>
      <w:bookmarkEnd w:id="0"/>
      <w:r w:rsidR="00332ED8">
        <w:rPr>
          <w:rFonts w:asciiTheme="minorHAnsi" w:eastAsiaTheme="minorHAnsi" w:hAnsiTheme="minorHAnsi" w:cs="AdvOTb65e897d.B"/>
          <w:szCs w:val="22"/>
        </w:rPr>
        <w:t>ations</w:t>
      </w:r>
      <w:r w:rsidR="003534F4">
        <w:rPr>
          <w:rFonts w:asciiTheme="minorHAnsi" w:eastAsiaTheme="minorHAnsi" w:hAnsiTheme="minorHAnsi" w:cs="AdvOTb65e897d.B"/>
          <w:szCs w:val="22"/>
        </w:rPr>
        <w:t xml:space="preserve"> (RCR)</w:t>
      </w:r>
      <w:r w:rsidR="00332ED8">
        <w:rPr>
          <w:rFonts w:asciiTheme="minorHAnsi" w:eastAsiaTheme="minorHAnsi" w:hAnsiTheme="minorHAnsi" w:cs="AdvOTb65e897d.B"/>
          <w:szCs w:val="22"/>
        </w:rPr>
        <w:t xml:space="preserve"> by combining and analyzing multi-year CDLs</w:t>
      </w:r>
      <w:r w:rsidR="00767F72">
        <w:rPr>
          <w:rFonts w:asciiTheme="minorHAnsi" w:eastAsiaTheme="minorHAnsi" w:hAnsiTheme="minorHAnsi" w:cs="AdvOTb65e897d.B"/>
          <w:szCs w:val="22"/>
        </w:rPr>
        <w:t xml:space="preserve">.  Among their findings were that RECRUIT is capable </w:t>
      </w:r>
      <w:r w:rsidR="007271BB" w:rsidRPr="00767F72">
        <w:rPr>
          <w:rFonts w:asciiTheme="minorHAnsi" w:eastAsiaTheme="minorHAnsi" w:hAnsiTheme="minorHAnsi" w:cs="AdvOTb65e897d.B"/>
          <w:szCs w:val="22"/>
        </w:rPr>
        <w:t xml:space="preserve">of accounting for over 90% of the variability of the more than 13,000 rotations in the </w:t>
      </w:r>
      <w:r w:rsidR="003534F4" w:rsidRPr="003534F4">
        <w:rPr>
          <w:rFonts w:asciiTheme="minorHAnsi" w:eastAsiaTheme="minorHAnsi" w:hAnsiTheme="minorHAnsi" w:cs="AdvOTb65e897d.B"/>
          <w:szCs w:val="22"/>
        </w:rPr>
        <w:t xml:space="preserve">Western Corn Belt </w:t>
      </w:r>
      <w:r w:rsidR="003534F4">
        <w:rPr>
          <w:rFonts w:asciiTheme="minorHAnsi" w:eastAsiaTheme="minorHAnsi" w:hAnsiTheme="minorHAnsi" w:cs="AdvOTb65e897d.B"/>
          <w:szCs w:val="22"/>
        </w:rPr>
        <w:t>(</w:t>
      </w:r>
      <w:r w:rsidR="007271BB" w:rsidRPr="00767F72">
        <w:rPr>
          <w:rFonts w:asciiTheme="minorHAnsi" w:eastAsiaTheme="minorHAnsi" w:hAnsiTheme="minorHAnsi" w:cs="AdvOTb65e897d.B"/>
          <w:szCs w:val="22"/>
        </w:rPr>
        <w:t>WCB</w:t>
      </w:r>
      <w:r w:rsidR="003534F4">
        <w:rPr>
          <w:rFonts w:asciiTheme="minorHAnsi" w:eastAsiaTheme="minorHAnsi" w:hAnsiTheme="minorHAnsi" w:cs="AdvOTb65e897d.B"/>
          <w:szCs w:val="22"/>
        </w:rPr>
        <w:t>)</w:t>
      </w:r>
      <w:r w:rsidR="007271BB" w:rsidRPr="00767F72">
        <w:rPr>
          <w:rFonts w:asciiTheme="minorHAnsi" w:eastAsiaTheme="minorHAnsi" w:hAnsiTheme="minorHAnsi" w:cs="AdvOTb65e897d.B"/>
          <w:szCs w:val="22"/>
        </w:rPr>
        <w:t xml:space="preserve"> using a small number (82) of RCRs; it can also detect pronounced shifts from grassland to monoculture corn/soybean cultivation. Furthermore, the area estimates of the RCRs are comparable to those obtained from agricultural census data. RECRUIT can be a useful tool for providing input data to drive agro-ecosystem models and detect shifts in cropping patterns in response to environmental and socio-economic changes.</w:t>
      </w:r>
    </w:p>
    <w:p w14:paraId="52A02000" w14:textId="77777777" w:rsidR="0076049D" w:rsidRPr="0089781E" w:rsidRDefault="0076049D" w:rsidP="0098299F">
      <w:pPr>
        <w:rPr>
          <w:rFonts w:asciiTheme="minorHAnsi" w:hAnsiTheme="minorHAnsi"/>
          <w:szCs w:val="22"/>
        </w:rPr>
      </w:pPr>
    </w:p>
    <w:p w14:paraId="208C7C87" w14:textId="77777777" w:rsidR="00527825" w:rsidRPr="00527825" w:rsidRDefault="008119FF" w:rsidP="00527825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proofErr w:type="spellStart"/>
      <w:r w:rsidR="00527825" w:rsidRPr="00527825">
        <w:rPr>
          <w:rFonts w:asciiTheme="minorHAnsi" w:hAnsiTheme="minorHAnsi"/>
          <w:szCs w:val="22"/>
        </w:rPr>
        <w:t>Sahajpal</w:t>
      </w:r>
      <w:proofErr w:type="spellEnd"/>
      <w:r w:rsidR="00527825" w:rsidRPr="00527825">
        <w:rPr>
          <w:rFonts w:asciiTheme="minorHAnsi" w:hAnsiTheme="minorHAnsi"/>
          <w:szCs w:val="22"/>
        </w:rPr>
        <w:t xml:space="preserve"> R, Zhang X, </w:t>
      </w:r>
      <w:proofErr w:type="spellStart"/>
      <w:r w:rsidR="00527825" w:rsidRPr="00527825">
        <w:rPr>
          <w:rFonts w:asciiTheme="minorHAnsi" w:hAnsiTheme="minorHAnsi"/>
          <w:szCs w:val="22"/>
        </w:rPr>
        <w:t>Izaurralde</w:t>
      </w:r>
      <w:proofErr w:type="spellEnd"/>
      <w:r w:rsidR="00527825" w:rsidRPr="00527825">
        <w:rPr>
          <w:rFonts w:asciiTheme="minorHAnsi" w:hAnsiTheme="minorHAnsi"/>
          <w:szCs w:val="22"/>
        </w:rPr>
        <w:t xml:space="preserve"> RC, </w:t>
      </w:r>
      <w:proofErr w:type="spellStart"/>
      <w:r w:rsidR="00527825" w:rsidRPr="00527825">
        <w:rPr>
          <w:rFonts w:asciiTheme="minorHAnsi" w:hAnsiTheme="minorHAnsi"/>
          <w:szCs w:val="22"/>
        </w:rPr>
        <w:t>Gelfand</w:t>
      </w:r>
      <w:proofErr w:type="spellEnd"/>
      <w:r w:rsidR="00527825" w:rsidRPr="00527825">
        <w:rPr>
          <w:rFonts w:asciiTheme="minorHAnsi" w:hAnsiTheme="minorHAnsi"/>
          <w:szCs w:val="22"/>
        </w:rPr>
        <w:t xml:space="preserve"> I, </w:t>
      </w:r>
      <w:proofErr w:type="spellStart"/>
      <w:r w:rsidR="00527825" w:rsidRPr="00527825">
        <w:rPr>
          <w:rFonts w:asciiTheme="minorHAnsi" w:hAnsiTheme="minorHAnsi"/>
          <w:szCs w:val="22"/>
        </w:rPr>
        <w:t>Hurtt</w:t>
      </w:r>
      <w:proofErr w:type="spellEnd"/>
      <w:r w:rsidR="00527825" w:rsidRPr="00527825">
        <w:rPr>
          <w:rFonts w:asciiTheme="minorHAnsi" w:hAnsiTheme="minorHAnsi"/>
          <w:szCs w:val="22"/>
        </w:rPr>
        <w:t xml:space="preserve"> GC. “Identifying representative crop rotation patterns and grassland loss in the US Western Corn Belt”. </w:t>
      </w:r>
      <w:proofErr w:type="gramStart"/>
      <w:r w:rsidR="00527825" w:rsidRPr="00527825">
        <w:rPr>
          <w:rFonts w:asciiTheme="minorHAnsi" w:hAnsiTheme="minorHAnsi"/>
          <w:szCs w:val="22"/>
        </w:rPr>
        <w:t>Computers and Electronics in Agriculture (2014) 173-182.</w:t>
      </w:r>
      <w:proofErr w:type="gramEnd"/>
    </w:p>
    <w:p w14:paraId="248D5833" w14:textId="5DE1D78A" w:rsidR="008119FF" w:rsidRPr="0089781E" w:rsidRDefault="008119FF" w:rsidP="0089781E">
      <w:pPr>
        <w:rPr>
          <w:rFonts w:asciiTheme="minorHAnsi" w:hAnsiTheme="minorHAnsi"/>
          <w:szCs w:val="22"/>
        </w:rPr>
      </w:pPr>
    </w:p>
    <w:p w14:paraId="5D7D73E4" w14:textId="77777777" w:rsidR="008119FF" w:rsidRPr="0089781E" w:rsidRDefault="008119FF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862EC"/>
    <w:multiLevelType w:val="hybridMultilevel"/>
    <w:tmpl w:val="A2344D74"/>
    <w:lvl w:ilvl="0" w:tplc="EFF41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66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090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B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21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8DA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64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ADC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04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69A9"/>
    <w:rsid w:val="000C5951"/>
    <w:rsid w:val="001F0E2A"/>
    <w:rsid w:val="00281796"/>
    <w:rsid w:val="00332ED8"/>
    <w:rsid w:val="003534F4"/>
    <w:rsid w:val="003F53BF"/>
    <w:rsid w:val="00527825"/>
    <w:rsid w:val="0072537D"/>
    <w:rsid w:val="007271BB"/>
    <w:rsid w:val="0076049D"/>
    <w:rsid w:val="00767F72"/>
    <w:rsid w:val="008119FF"/>
    <w:rsid w:val="0089781E"/>
    <w:rsid w:val="00923AFD"/>
    <w:rsid w:val="0094060E"/>
    <w:rsid w:val="00971C08"/>
    <w:rsid w:val="0098299F"/>
    <w:rsid w:val="00B6334B"/>
    <w:rsid w:val="00BC7A84"/>
    <w:rsid w:val="00CC5EF2"/>
    <w:rsid w:val="00D6104B"/>
    <w:rsid w:val="00E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825"/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825"/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HUBDOC-169-464</_dlc_DocId>
    <_dlc_DocIdUrl xmlns="f66da2ca-f37c-4205-929f-e8e9af1907d3">
      <Url>https://intranet.wei.wisc.edu/glbrc/doe/_layouts/15/DocIdRedir.aspx?ID=HUBDOC-169-464</Url>
      <Description>HUBDOC-169-464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C4E724-2FB7-4ED3-B30A-483FD181A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Matt Wisniewski</cp:lastModifiedBy>
  <cp:revision>22</cp:revision>
  <dcterms:created xsi:type="dcterms:W3CDTF">2015-03-02T19:25:00Z</dcterms:created>
  <dcterms:modified xsi:type="dcterms:W3CDTF">2015-03-11T13:32:00Z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2c6d6fc6-cbd4-4e22-9864-0fdae6558bfc</vt:lpwstr>
  </property>
  <property fmtid="{D5CDD505-2E9C-101B-9397-08002B2CF9AE}" pid="4" name="TaxKeyword">
    <vt:lpwstr/>
  </property>
</Properties>
</file>