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F399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3BF14005" w14:textId="614438A5" w:rsidR="00527825" w:rsidRPr="00527825" w:rsidRDefault="00CB6F75" w:rsidP="00527825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bCs/>
          <w:szCs w:val="22"/>
        </w:rPr>
        <w:t xml:space="preserve">N2O emissions during establishment phase of various </w:t>
      </w:r>
      <w:proofErr w:type="gramStart"/>
      <w:r>
        <w:rPr>
          <w:rFonts w:asciiTheme="minorHAnsi" w:eastAsiaTheme="minorHAnsi" w:hAnsiTheme="minorHAnsi" w:cs="AdvOTb65e897d.B"/>
          <w:b/>
          <w:bCs/>
          <w:szCs w:val="22"/>
        </w:rPr>
        <w:t>bioenergy cropping</w:t>
      </w:r>
      <w:proofErr w:type="gramEnd"/>
      <w:r>
        <w:rPr>
          <w:rFonts w:asciiTheme="minorHAnsi" w:eastAsiaTheme="minorHAnsi" w:hAnsiTheme="minorHAnsi" w:cs="AdvOTb65e897d.B"/>
          <w:b/>
          <w:bCs/>
          <w:szCs w:val="22"/>
        </w:rPr>
        <w:t xml:space="preserve"> systems</w:t>
      </w:r>
    </w:p>
    <w:p w14:paraId="78417F0B" w14:textId="5B41591C" w:rsidR="00496CFF" w:rsidRPr="00CB1A1D" w:rsidRDefault="00CB6F75" w:rsidP="00767F72">
      <w:pPr>
        <w:rPr>
          <w:rFonts w:asciiTheme="minorHAnsi" w:hAnsiTheme="minorHAnsi" w:cs="AdvOTb65e897d.B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>Nitrous oxide (N</w:t>
      </w:r>
      <w:r w:rsidRPr="00CB6F75">
        <w:rPr>
          <w:rFonts w:asciiTheme="minorHAnsi" w:eastAsiaTheme="minorHAnsi" w:hAnsiTheme="minorHAnsi" w:cs="AdvOTb65e897d.B"/>
          <w:szCs w:val="22"/>
          <w:vertAlign w:val="subscript"/>
        </w:rPr>
        <w:t>2</w:t>
      </w:r>
      <w:r>
        <w:rPr>
          <w:rFonts w:asciiTheme="minorHAnsi" w:eastAsiaTheme="minorHAnsi" w:hAnsiTheme="minorHAnsi" w:cs="AdvOTb65e897d.B"/>
          <w:szCs w:val="22"/>
        </w:rPr>
        <w:t>O) is a potent greenhouse gas and a substantial proportion of the total carbon footprint associated with feedstock production, and as bioenergy cropping systems continue to be considered, their greenhouse gas emissions will be a key component of sustainability evaluation</w:t>
      </w:r>
      <w:r w:rsidR="00202A92">
        <w:rPr>
          <w:rFonts w:asciiTheme="minorHAnsi" w:eastAsiaTheme="minorHAnsi" w:hAnsiTheme="minorHAnsi" w:cs="AdvOTb65e897d.B"/>
          <w:szCs w:val="22"/>
        </w:rPr>
        <w:t xml:space="preserve">. </w:t>
      </w:r>
      <w:r>
        <w:rPr>
          <w:rFonts w:asciiTheme="minorHAnsi" w:eastAsiaTheme="minorHAnsi" w:hAnsiTheme="minorHAnsi" w:cs="AdvOTb65e897d.B"/>
          <w:szCs w:val="22"/>
        </w:rPr>
        <w:t>N</w:t>
      </w:r>
      <w:r w:rsidRPr="000B3E05">
        <w:rPr>
          <w:rFonts w:asciiTheme="minorHAnsi" w:eastAsiaTheme="minorHAnsi" w:hAnsiTheme="minorHAnsi" w:cs="AdvOTb65e897d.B"/>
          <w:szCs w:val="22"/>
          <w:vertAlign w:val="subscript"/>
        </w:rPr>
        <w:t>2</w:t>
      </w:r>
      <w:r>
        <w:rPr>
          <w:rFonts w:asciiTheme="minorHAnsi" w:eastAsiaTheme="minorHAnsi" w:hAnsiTheme="minorHAnsi" w:cs="AdvOTb65e897d.B"/>
          <w:szCs w:val="22"/>
        </w:rPr>
        <w:t xml:space="preserve">O emitted from soils is primarily the result of </w:t>
      </w:r>
      <w:proofErr w:type="spellStart"/>
      <w:proofErr w:type="gramStart"/>
      <w:r>
        <w:rPr>
          <w:rFonts w:asciiTheme="minorHAnsi" w:eastAsiaTheme="minorHAnsi" w:hAnsiTheme="minorHAnsi" w:cs="AdvOTb65e897d.B"/>
          <w:szCs w:val="22"/>
        </w:rPr>
        <w:t>microbially</w:t>
      </w:r>
      <w:proofErr w:type="spellEnd"/>
      <w:r>
        <w:rPr>
          <w:rFonts w:asciiTheme="minorHAnsi" w:eastAsiaTheme="minorHAnsi" w:hAnsiTheme="minorHAnsi" w:cs="AdvOTb65e897d.B"/>
          <w:szCs w:val="22"/>
        </w:rPr>
        <w:t>-driven</w:t>
      </w:r>
      <w:proofErr w:type="gramEnd"/>
      <w:r>
        <w:rPr>
          <w:rFonts w:asciiTheme="minorHAnsi" w:eastAsiaTheme="minorHAnsi" w:hAnsiTheme="minorHAnsi" w:cs="AdvOTb65e897d.B"/>
          <w:szCs w:val="22"/>
        </w:rPr>
        <w:t xml:space="preserve"> nitrification and </w:t>
      </w:r>
      <w:proofErr w:type="spellStart"/>
      <w:r>
        <w:rPr>
          <w:rFonts w:asciiTheme="minorHAnsi" w:eastAsiaTheme="minorHAnsi" w:hAnsiTheme="minorHAnsi" w:cs="AdvOTb65e897d.B"/>
          <w:szCs w:val="22"/>
        </w:rPr>
        <w:t>denitrification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, processes which are influenced by various environmental factors including temperature, oxygen availability, and microbial activity, among others, and the effect of each of these factors differs among cropping systems. </w:t>
      </w:r>
      <w:r w:rsidR="0076049D">
        <w:rPr>
          <w:rFonts w:asciiTheme="minorHAnsi" w:eastAsiaTheme="minorHAnsi" w:hAnsiTheme="minorHAnsi" w:cs="AdvOTb65e897d.B"/>
          <w:szCs w:val="22"/>
        </w:rPr>
        <w:t>Researchers in the DOE’s Great Lakes Bioe</w:t>
      </w:r>
      <w:r w:rsidR="00332ED8">
        <w:rPr>
          <w:rFonts w:asciiTheme="minorHAnsi" w:eastAsiaTheme="minorHAnsi" w:hAnsiTheme="minorHAnsi" w:cs="AdvOTb65e897d.B"/>
          <w:szCs w:val="22"/>
        </w:rPr>
        <w:t xml:space="preserve">nergy Research Center </w:t>
      </w:r>
      <w:r>
        <w:rPr>
          <w:rFonts w:asciiTheme="minorHAnsi" w:eastAsiaTheme="minorHAnsi" w:hAnsiTheme="minorHAnsi" w:cs="AdvOTb65e897d.B"/>
          <w:szCs w:val="22"/>
        </w:rPr>
        <w:t>compared the establishment phase N</w:t>
      </w:r>
      <w:r w:rsidRPr="00CB6F75">
        <w:rPr>
          <w:rFonts w:asciiTheme="minorHAnsi" w:eastAsiaTheme="minorHAnsi" w:hAnsiTheme="minorHAnsi" w:cs="AdvOTb65e897d.B"/>
          <w:szCs w:val="22"/>
          <w:vertAlign w:val="subscript"/>
        </w:rPr>
        <w:t>2</w:t>
      </w:r>
      <w:r>
        <w:rPr>
          <w:rFonts w:asciiTheme="minorHAnsi" w:eastAsiaTheme="minorHAnsi" w:hAnsiTheme="minorHAnsi" w:cs="AdvOTb65e897d.B"/>
          <w:szCs w:val="22"/>
        </w:rPr>
        <w:t>O emissions of annual monocultures of continuo</w:t>
      </w:r>
      <w:r w:rsidR="000B3E05">
        <w:rPr>
          <w:rFonts w:asciiTheme="minorHAnsi" w:eastAsiaTheme="minorHAnsi" w:hAnsiTheme="minorHAnsi" w:cs="AdvOTb65e897d.B"/>
          <w:szCs w:val="22"/>
        </w:rPr>
        <w:t>u</w:t>
      </w:r>
      <w:r>
        <w:rPr>
          <w:rFonts w:asciiTheme="minorHAnsi" w:eastAsiaTheme="minorHAnsi" w:hAnsiTheme="minorHAnsi" w:cs="AdvOTb65e897d.B"/>
          <w:szCs w:val="22"/>
        </w:rPr>
        <w:t xml:space="preserve">s corn and corn-soy bean-canola rotations; perennial monocultures of </w:t>
      </w:r>
      <w:proofErr w:type="spellStart"/>
      <w:r>
        <w:rPr>
          <w:rFonts w:asciiTheme="minorHAnsi" w:eastAsiaTheme="minorHAnsi" w:hAnsiTheme="minorHAnsi" w:cs="AdvOTb65e897d.B"/>
          <w:szCs w:val="22"/>
        </w:rPr>
        <w:t>switchgrass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, </w:t>
      </w:r>
      <w:proofErr w:type="spellStart"/>
      <w:r>
        <w:rPr>
          <w:rFonts w:asciiTheme="minorHAnsi" w:eastAsiaTheme="minorHAnsi" w:hAnsiTheme="minorHAnsi" w:cs="AdvOTb65e897d.B"/>
          <w:szCs w:val="22"/>
        </w:rPr>
        <w:t>miscanthus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, and hybrid poplar; and perennial </w:t>
      </w:r>
      <w:proofErr w:type="spellStart"/>
      <w:r>
        <w:rPr>
          <w:rFonts w:asciiTheme="minorHAnsi" w:eastAsiaTheme="minorHAnsi" w:hAnsiTheme="minorHAnsi" w:cs="AdvOTb65e897d.B"/>
          <w:szCs w:val="22"/>
        </w:rPr>
        <w:t>polycultures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 of early successional species, native grasse</w:t>
      </w:r>
      <w:r w:rsidR="00D97550">
        <w:rPr>
          <w:rFonts w:asciiTheme="minorHAnsi" w:eastAsiaTheme="minorHAnsi" w:hAnsiTheme="minorHAnsi" w:cs="AdvOTb65e897d.B"/>
          <w:szCs w:val="22"/>
        </w:rPr>
        <w:t xml:space="preserve">s, and native prairie species. </w:t>
      </w:r>
      <w:r>
        <w:rPr>
          <w:rFonts w:asciiTheme="minorHAnsi" w:eastAsiaTheme="minorHAnsi" w:hAnsiTheme="minorHAnsi" w:cs="AdvOTb65e897d.B"/>
          <w:szCs w:val="22"/>
        </w:rPr>
        <w:t>These measurements were done over the 2- to 4-year period following planting over which several perennial crops attain “full capacity” production of biomass</w:t>
      </w:r>
      <w:r w:rsidR="00CB1A1D">
        <w:rPr>
          <w:rFonts w:asciiTheme="minorHAnsi" w:eastAsiaTheme="minorHAnsi" w:hAnsiTheme="minorHAnsi" w:cs="AdvOTb65e897d.B"/>
          <w:szCs w:val="22"/>
        </w:rPr>
        <w:t xml:space="preserve">. Their results indicate that </w:t>
      </w:r>
      <w:r w:rsidR="00CB1A1D">
        <w:rPr>
          <w:rFonts w:asciiTheme="minorHAnsi" w:hAnsiTheme="minorHAnsi" w:cs="AdvOTb65e897d.B"/>
          <w:szCs w:val="22"/>
        </w:rPr>
        <w:t>e</w:t>
      </w:r>
      <w:r w:rsidR="000B3E05" w:rsidRPr="00CB1A1D">
        <w:rPr>
          <w:rFonts w:asciiTheme="minorHAnsi" w:hAnsiTheme="minorHAnsi" w:cs="AdvOTb65e897d.B"/>
          <w:szCs w:val="22"/>
        </w:rPr>
        <w:t>missions ranged from 3.1-19.1 kgN</w:t>
      </w:r>
      <w:r w:rsidR="000B3E05" w:rsidRPr="00CB1A1D">
        <w:rPr>
          <w:rFonts w:asciiTheme="minorHAnsi" w:hAnsiTheme="minorHAnsi" w:cs="AdvOTb65e897d.B"/>
          <w:szCs w:val="22"/>
          <w:vertAlign w:val="subscript"/>
        </w:rPr>
        <w:t>2</w:t>
      </w:r>
      <w:r w:rsidR="000B3E05" w:rsidRPr="00CB1A1D">
        <w:rPr>
          <w:rFonts w:asciiTheme="minorHAnsi" w:hAnsiTheme="minorHAnsi" w:cs="AdvOTb65e897d.B"/>
          <w:szCs w:val="22"/>
        </w:rPr>
        <w:t xml:space="preserve">O-N/ha </w:t>
      </w:r>
      <w:proofErr w:type="spellStart"/>
      <w:r w:rsidR="000B3E05" w:rsidRPr="00CB1A1D">
        <w:rPr>
          <w:rFonts w:asciiTheme="minorHAnsi" w:hAnsiTheme="minorHAnsi" w:cs="AdvOTb65e897d.B"/>
          <w:szCs w:val="22"/>
        </w:rPr>
        <w:t>yr</w:t>
      </w:r>
      <w:proofErr w:type="spellEnd"/>
      <w:r w:rsidR="000B3E05" w:rsidRPr="00CB1A1D">
        <w:rPr>
          <w:rFonts w:asciiTheme="minorHAnsi" w:hAnsiTheme="minorHAnsi" w:cs="AdvOTb65e897d.B"/>
          <w:szCs w:val="22"/>
        </w:rPr>
        <w:t xml:space="preserve"> for annuals (continuous corn &gt; corn-soybean-canola) and 1.1-6.3 kgN</w:t>
      </w:r>
      <w:r w:rsidR="000B3E05" w:rsidRPr="00CB1A1D">
        <w:rPr>
          <w:rFonts w:asciiTheme="minorHAnsi" w:hAnsiTheme="minorHAnsi" w:cs="AdvOTb65e897d.B"/>
          <w:szCs w:val="22"/>
          <w:vertAlign w:val="subscript"/>
        </w:rPr>
        <w:t>2</w:t>
      </w:r>
      <w:r w:rsidR="000B3E05" w:rsidRPr="00CB1A1D">
        <w:rPr>
          <w:rFonts w:asciiTheme="minorHAnsi" w:hAnsiTheme="minorHAnsi" w:cs="AdvOTb65e897d.B"/>
          <w:szCs w:val="22"/>
        </w:rPr>
        <w:t xml:space="preserve">O-N/ha </w:t>
      </w:r>
      <w:proofErr w:type="spellStart"/>
      <w:r w:rsidR="000B3E05" w:rsidRPr="00CB1A1D">
        <w:rPr>
          <w:rFonts w:asciiTheme="minorHAnsi" w:hAnsiTheme="minorHAnsi" w:cs="AdvOTb65e897d.B"/>
          <w:szCs w:val="22"/>
        </w:rPr>
        <w:t>yr</w:t>
      </w:r>
      <w:proofErr w:type="spellEnd"/>
      <w:r w:rsidR="000B3E05" w:rsidRPr="00CB1A1D">
        <w:rPr>
          <w:rFonts w:asciiTheme="minorHAnsi" w:hAnsiTheme="minorHAnsi" w:cs="AdvOTb65e897d.B"/>
          <w:szCs w:val="22"/>
        </w:rPr>
        <w:t xml:space="preserve"> for perennials, with N</w:t>
      </w:r>
      <w:r w:rsidR="000B3E05" w:rsidRPr="00CB1A1D">
        <w:rPr>
          <w:rFonts w:asciiTheme="minorHAnsi" w:hAnsiTheme="minorHAnsi" w:cs="AdvOTb65e897d.B"/>
          <w:szCs w:val="22"/>
          <w:vertAlign w:val="subscript"/>
        </w:rPr>
        <w:t>2</w:t>
      </w:r>
      <w:r w:rsidR="000B3E05" w:rsidRPr="00CB1A1D">
        <w:rPr>
          <w:rFonts w:asciiTheme="minorHAnsi" w:hAnsiTheme="minorHAnsi" w:cs="AdvOTb65e897d.B"/>
          <w:szCs w:val="22"/>
        </w:rPr>
        <w:t>O peak fluxes being associated with</w:t>
      </w:r>
      <w:r w:rsidR="00CB1A1D">
        <w:rPr>
          <w:rFonts w:asciiTheme="minorHAnsi" w:hAnsiTheme="minorHAnsi" w:cs="AdvOTb65e897d.B"/>
          <w:szCs w:val="22"/>
        </w:rPr>
        <w:t xml:space="preserve"> periods of</w:t>
      </w:r>
      <w:r w:rsidR="000B3E05" w:rsidRPr="00CB1A1D">
        <w:rPr>
          <w:rFonts w:asciiTheme="minorHAnsi" w:hAnsiTheme="minorHAnsi" w:cs="AdvOTb65e897d.B"/>
          <w:szCs w:val="22"/>
        </w:rPr>
        <w:t xml:space="preserve"> </w:t>
      </w:r>
      <w:r w:rsidR="00CB1A1D">
        <w:rPr>
          <w:rFonts w:asciiTheme="minorHAnsi" w:hAnsiTheme="minorHAnsi" w:cs="AdvOTb65e897d.B"/>
          <w:szCs w:val="22"/>
        </w:rPr>
        <w:t>rain following fertilizer application</w:t>
      </w:r>
      <w:r w:rsidR="000B3E05" w:rsidRPr="00CB1A1D">
        <w:rPr>
          <w:rFonts w:asciiTheme="minorHAnsi" w:hAnsiTheme="minorHAnsi" w:cs="AdvOTb65e897d.B"/>
          <w:szCs w:val="22"/>
        </w:rPr>
        <w:t>.</w:t>
      </w:r>
      <w:r w:rsidR="00CB1A1D">
        <w:rPr>
          <w:rFonts w:asciiTheme="minorHAnsi" w:hAnsiTheme="minorHAnsi" w:cs="AdvOTb65e897d.B"/>
          <w:szCs w:val="22"/>
        </w:rPr>
        <w:t xml:space="preserve"> </w:t>
      </w:r>
      <w:r w:rsidR="00CB1A1D">
        <w:rPr>
          <w:rFonts w:asciiTheme="minorHAnsi" w:eastAsiaTheme="minorHAnsi" w:hAnsiTheme="minorHAnsi" w:cs="AdvOTb65e897d.B"/>
          <w:szCs w:val="22"/>
        </w:rPr>
        <w:t>Additionally, they found that d</w:t>
      </w:r>
      <w:r w:rsidR="00CB1A1D" w:rsidRPr="00CB1A1D">
        <w:rPr>
          <w:rFonts w:asciiTheme="minorHAnsi" w:eastAsiaTheme="minorHAnsi" w:hAnsiTheme="minorHAnsi" w:cs="AdvOTb65e897d.B"/>
          <w:szCs w:val="22"/>
        </w:rPr>
        <w:t>uring establishment phase, perennial bioenergy crops emit less N</w:t>
      </w:r>
      <w:r w:rsidR="00CB1A1D" w:rsidRPr="00CB1A1D">
        <w:rPr>
          <w:rFonts w:asciiTheme="minorHAnsi" w:eastAsiaTheme="minorHAnsi" w:hAnsiTheme="minorHAnsi" w:cs="AdvOTb65e897d.B"/>
          <w:szCs w:val="22"/>
          <w:vertAlign w:val="subscript"/>
        </w:rPr>
        <w:t>2</w:t>
      </w:r>
      <w:r w:rsidR="00CB1A1D" w:rsidRPr="00CB1A1D">
        <w:rPr>
          <w:rFonts w:asciiTheme="minorHAnsi" w:eastAsiaTheme="minorHAnsi" w:hAnsiTheme="minorHAnsi" w:cs="AdvOTb65e897d.B"/>
          <w:szCs w:val="22"/>
        </w:rPr>
        <w:t>O than annual crops, especially when not fertilized</w:t>
      </w:r>
      <w:r w:rsidR="00D97550">
        <w:rPr>
          <w:rFonts w:asciiTheme="minorHAnsi" w:eastAsiaTheme="minorHAnsi" w:hAnsiTheme="minorHAnsi" w:cs="AdvOTb65e897d.B"/>
          <w:szCs w:val="22"/>
        </w:rPr>
        <w:t>.</w:t>
      </w:r>
      <w:r w:rsidR="00CB1A1D">
        <w:rPr>
          <w:rFonts w:asciiTheme="minorHAnsi" w:eastAsiaTheme="minorHAnsi" w:hAnsiTheme="minorHAnsi" w:cs="AdvOTb65e897d.B"/>
          <w:szCs w:val="22"/>
        </w:rPr>
        <w:t xml:space="preserve"> And finally, their results show that m</w:t>
      </w:r>
      <w:r w:rsidR="00CB1A1D" w:rsidRPr="00CB1A1D">
        <w:rPr>
          <w:rFonts w:asciiTheme="minorHAnsi" w:eastAsiaTheme="minorHAnsi" w:hAnsiTheme="minorHAnsi" w:cs="AdvOTb65e897d.B"/>
          <w:szCs w:val="22"/>
        </w:rPr>
        <w:t xml:space="preserve">odels trained on single systems performed well in most monocultures but worse in </w:t>
      </w:r>
      <w:proofErr w:type="spellStart"/>
      <w:r w:rsidR="00CB1A1D" w:rsidRPr="00CB1A1D">
        <w:rPr>
          <w:rFonts w:asciiTheme="minorHAnsi" w:eastAsiaTheme="minorHAnsi" w:hAnsiTheme="minorHAnsi" w:cs="AdvOTb65e897d.B"/>
          <w:szCs w:val="22"/>
        </w:rPr>
        <w:t>polyc</w:t>
      </w:r>
      <w:r w:rsidR="00D71BB7">
        <w:rPr>
          <w:rFonts w:asciiTheme="minorHAnsi" w:eastAsiaTheme="minorHAnsi" w:hAnsiTheme="minorHAnsi" w:cs="AdvOTb65e897d.B"/>
          <w:szCs w:val="22"/>
        </w:rPr>
        <w:t>ul</w:t>
      </w:r>
      <w:bookmarkStart w:id="0" w:name="_GoBack"/>
      <w:bookmarkEnd w:id="0"/>
      <w:r w:rsidR="00CB1A1D" w:rsidRPr="00CB1A1D">
        <w:rPr>
          <w:rFonts w:asciiTheme="minorHAnsi" w:eastAsiaTheme="minorHAnsi" w:hAnsiTheme="minorHAnsi" w:cs="AdvOTb65e897d.B"/>
          <w:szCs w:val="22"/>
        </w:rPr>
        <w:t>tures</w:t>
      </w:r>
      <w:proofErr w:type="spellEnd"/>
      <w:r w:rsidR="00CB1A1D" w:rsidRPr="00CB1A1D">
        <w:rPr>
          <w:rFonts w:asciiTheme="minorHAnsi" w:eastAsiaTheme="minorHAnsi" w:hAnsiTheme="minorHAnsi" w:cs="AdvOTb65e897d.B"/>
          <w:szCs w:val="22"/>
        </w:rPr>
        <w:t>, which means simulation models including N</w:t>
      </w:r>
      <w:r w:rsidR="00CB1A1D" w:rsidRPr="00CB1A1D">
        <w:rPr>
          <w:rFonts w:asciiTheme="minorHAnsi" w:eastAsiaTheme="minorHAnsi" w:hAnsiTheme="minorHAnsi" w:cs="AdvOTb65e897d.B"/>
          <w:szCs w:val="22"/>
          <w:vertAlign w:val="subscript"/>
        </w:rPr>
        <w:t>2</w:t>
      </w:r>
      <w:r w:rsidR="00CB1A1D" w:rsidRPr="00CB1A1D">
        <w:rPr>
          <w:rFonts w:asciiTheme="minorHAnsi" w:eastAsiaTheme="minorHAnsi" w:hAnsiTheme="minorHAnsi" w:cs="AdvOTb65e897d.B"/>
          <w:szCs w:val="22"/>
        </w:rPr>
        <w:t>O emissions should be parameterized specifical</w:t>
      </w:r>
      <w:r w:rsidR="00CB1A1D">
        <w:rPr>
          <w:rFonts w:asciiTheme="minorHAnsi" w:eastAsiaTheme="minorHAnsi" w:hAnsiTheme="minorHAnsi" w:cs="AdvOTb65e897d.B"/>
          <w:szCs w:val="22"/>
        </w:rPr>
        <w:t xml:space="preserve">ly for particular plant systems.  </w:t>
      </w:r>
    </w:p>
    <w:p w14:paraId="4569A72E" w14:textId="77777777" w:rsidR="00CB6F75" w:rsidRPr="00CB6F75" w:rsidRDefault="008119FF" w:rsidP="00CB6F75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CB6F75" w:rsidRPr="00CB6F75">
        <w:rPr>
          <w:rFonts w:asciiTheme="minorHAnsi" w:hAnsiTheme="minorHAnsi"/>
          <w:szCs w:val="22"/>
        </w:rPr>
        <w:t xml:space="preserve">Oates, L. G., Duncan, D. S., </w:t>
      </w:r>
      <w:proofErr w:type="spellStart"/>
      <w:r w:rsidR="00CB6F75" w:rsidRPr="00CB6F75">
        <w:rPr>
          <w:rFonts w:asciiTheme="minorHAnsi" w:hAnsiTheme="minorHAnsi"/>
          <w:szCs w:val="22"/>
        </w:rPr>
        <w:t>Gelfand</w:t>
      </w:r>
      <w:proofErr w:type="spellEnd"/>
      <w:r w:rsidR="00CB6F75" w:rsidRPr="00CB6F75">
        <w:rPr>
          <w:rFonts w:asciiTheme="minorHAnsi" w:hAnsiTheme="minorHAnsi"/>
          <w:szCs w:val="22"/>
        </w:rPr>
        <w:t xml:space="preserve">, I., Millar, N., Robertson, G. P. and Jackson, R. D. (2015), Nitrous oxide emissions during establishment of eight alternative cellulosic bioenergy cropping systems in the North Central United States. GCB Bioenergy. </w:t>
      </w:r>
      <w:proofErr w:type="spellStart"/>
      <w:proofErr w:type="gramStart"/>
      <w:r w:rsidR="00CB6F75" w:rsidRPr="00CB6F75">
        <w:rPr>
          <w:rFonts w:asciiTheme="minorHAnsi" w:hAnsiTheme="minorHAnsi"/>
          <w:szCs w:val="22"/>
        </w:rPr>
        <w:t>doi</w:t>
      </w:r>
      <w:proofErr w:type="spellEnd"/>
      <w:proofErr w:type="gramEnd"/>
      <w:r w:rsidR="00CB6F75" w:rsidRPr="00CB6F75">
        <w:rPr>
          <w:rFonts w:asciiTheme="minorHAnsi" w:hAnsiTheme="minorHAnsi"/>
          <w:szCs w:val="22"/>
        </w:rPr>
        <w:t>: 10.1111/gcbb.12268</w:t>
      </w:r>
    </w:p>
    <w:p w14:paraId="5D7D73E4" w14:textId="013F6E80" w:rsidR="008119FF" w:rsidRPr="0089781E" w:rsidRDefault="00CB6F75" w:rsidP="00CB6F75">
      <w:pPr>
        <w:rPr>
          <w:rFonts w:asciiTheme="minorHAnsi" w:hAnsiTheme="minorHAnsi"/>
          <w:szCs w:val="22"/>
        </w:rPr>
      </w:pPr>
      <w:r w:rsidRPr="00CB6F75">
        <w:rPr>
          <w:rFonts w:asciiTheme="minorHAnsi" w:hAnsiTheme="minorHAnsi"/>
          <w:b/>
          <w:szCs w:val="22"/>
        </w:rPr>
        <w:t xml:space="preserve"> </w:t>
      </w:r>
      <w:r w:rsidR="008119FF" w:rsidRPr="0089781E">
        <w:rPr>
          <w:rFonts w:asciiTheme="minorHAnsi" w:hAnsiTheme="minorHAnsi"/>
          <w:b/>
          <w:szCs w:val="22"/>
        </w:rPr>
        <w:t>Contact</w:t>
      </w:r>
      <w:r w:rsidR="008119FF"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AE3"/>
    <w:multiLevelType w:val="hybridMultilevel"/>
    <w:tmpl w:val="997CAE5C"/>
    <w:lvl w:ilvl="0" w:tplc="ABBE1B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7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699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89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EB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EDE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07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6B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FD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2862EC"/>
    <w:multiLevelType w:val="hybridMultilevel"/>
    <w:tmpl w:val="A2344D74"/>
    <w:lvl w:ilvl="0" w:tplc="EFF41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66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090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B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21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8DA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64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ADC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04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62A96"/>
    <w:rsid w:val="000B3E05"/>
    <w:rsid w:val="000C5951"/>
    <w:rsid w:val="001F0E2A"/>
    <w:rsid w:val="00202A92"/>
    <w:rsid w:val="00281796"/>
    <w:rsid w:val="00332ED8"/>
    <w:rsid w:val="003F53BF"/>
    <w:rsid w:val="00496CFF"/>
    <w:rsid w:val="00527825"/>
    <w:rsid w:val="005922EC"/>
    <w:rsid w:val="00722D3D"/>
    <w:rsid w:val="0072537D"/>
    <w:rsid w:val="007271BB"/>
    <w:rsid w:val="0076049D"/>
    <w:rsid w:val="00767F72"/>
    <w:rsid w:val="007D4194"/>
    <w:rsid w:val="008119FF"/>
    <w:rsid w:val="0089781E"/>
    <w:rsid w:val="0094060E"/>
    <w:rsid w:val="00971C08"/>
    <w:rsid w:val="0098299F"/>
    <w:rsid w:val="00B6334B"/>
    <w:rsid w:val="00BC7A84"/>
    <w:rsid w:val="00CB1A1D"/>
    <w:rsid w:val="00CB6F75"/>
    <w:rsid w:val="00CC5EF2"/>
    <w:rsid w:val="00D6104B"/>
    <w:rsid w:val="00D71BB7"/>
    <w:rsid w:val="00D97550"/>
    <w:rsid w:val="00DB1A35"/>
    <w:rsid w:val="00E33580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825"/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A1D"/>
    <w:pPr>
      <w:spacing w:before="0" w:beforeAutospacing="0" w:after="0" w:afterAutospacing="0"/>
      <w:ind w:left="720"/>
      <w:contextualSpacing/>
    </w:pPr>
    <w:rPr>
      <w:rFonts w:ascii="Times" w:eastAsiaTheme="minorHAnsi" w:hAnsi="Time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825"/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A1D"/>
    <w:pPr>
      <w:spacing w:before="0" w:beforeAutospacing="0" w:after="0" w:afterAutospacing="0"/>
      <w:ind w:left="720"/>
      <w:contextualSpacing/>
    </w:pPr>
    <w:rPr>
      <w:rFonts w:ascii="Times" w:eastAsiaTheme="minorHAnsi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HUBDOC-169-486</_dlc_DocId>
    <_dlc_DocIdUrl xmlns="f66da2ca-f37c-4205-929f-e8e9af1907d3">
      <Url>https://intranet.wei.wisc.edu/glbrc/doe/_layouts/15/DocIdRedir.aspx?ID=HUBDOC-169-486</Url>
      <Description>HUBDOC-169-486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E88EC6-3EE5-4DC1-8556-101D2249F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Matt Wisniewski</cp:lastModifiedBy>
  <cp:revision>6</cp:revision>
  <dcterms:created xsi:type="dcterms:W3CDTF">2015-05-27T02:21:00Z</dcterms:created>
  <dcterms:modified xsi:type="dcterms:W3CDTF">2015-05-27T14:35:00Z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4c48397c-7eb1-42de-9c10-1502161df2ab</vt:lpwstr>
  </property>
  <property fmtid="{D5CDD505-2E9C-101B-9397-08002B2CF9AE}" pid="4" name="TaxKeyword">
    <vt:lpwstr/>
  </property>
</Properties>
</file>