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6AC35" w14:textId="77777777" w:rsidR="0098299F" w:rsidRPr="0089781E" w:rsidRDefault="0098299F" w:rsidP="0098299F">
      <w:pPr>
        <w:rPr>
          <w:rFonts w:asciiTheme="minorHAnsi" w:eastAsiaTheme="minorHAnsi" w:hAnsiTheme="minorHAnsi" w:cs="AdvOTb65e897d.B"/>
          <w:sz w:val="19"/>
          <w:szCs w:val="19"/>
        </w:rPr>
      </w:pPr>
    </w:p>
    <w:p w14:paraId="77492286" w14:textId="77777777" w:rsidR="00D72081" w:rsidRPr="00D72081" w:rsidRDefault="00D72081" w:rsidP="00D72081">
      <w:pPr>
        <w:rPr>
          <w:rFonts w:asciiTheme="minorHAnsi" w:eastAsiaTheme="minorHAnsi" w:hAnsiTheme="minorHAnsi" w:cs="AdvOTb65e897d.B"/>
          <w:b/>
          <w:szCs w:val="22"/>
        </w:rPr>
      </w:pPr>
      <w:r w:rsidRPr="00D72081">
        <w:rPr>
          <w:rFonts w:asciiTheme="minorHAnsi" w:eastAsiaTheme="minorHAnsi" w:hAnsiTheme="minorHAnsi" w:cs="AdvOTb65e897d.B"/>
          <w:b/>
          <w:bCs/>
          <w:szCs w:val="22"/>
        </w:rPr>
        <w:t>Potential of electrified vehicles to contribute to petroleum and climate goals and implications for biofuels</w:t>
      </w:r>
    </w:p>
    <w:p w14:paraId="5D64FF12" w14:textId="1B14BE8D" w:rsidR="00452D45" w:rsidRPr="00452D45" w:rsidRDefault="00D72081" w:rsidP="007171E7">
      <w:pPr>
        <w:rPr>
          <w:rFonts w:asciiTheme="minorHAnsi" w:hAnsiTheme="minorHAnsi" w:cs="AdvOTb65e897d.B"/>
          <w:szCs w:val="22"/>
        </w:rPr>
      </w:pPr>
      <w:r>
        <w:rPr>
          <w:rFonts w:asciiTheme="minorHAnsi" w:eastAsiaTheme="minorHAnsi" w:hAnsiTheme="minorHAnsi" w:cs="AdvOTb65e897d.B"/>
          <w:szCs w:val="22"/>
        </w:rPr>
        <w:t xml:space="preserve">American crude oil imports have almost tripled since the early </w:t>
      </w:r>
      <w:r w:rsidR="004F0903">
        <w:rPr>
          <w:rFonts w:asciiTheme="minorHAnsi" w:eastAsiaTheme="minorHAnsi" w:hAnsiTheme="minorHAnsi" w:cs="AdvOTb65e897d.B"/>
          <w:szCs w:val="22"/>
        </w:rPr>
        <w:t>19</w:t>
      </w:r>
      <w:r>
        <w:rPr>
          <w:rFonts w:asciiTheme="minorHAnsi" w:eastAsiaTheme="minorHAnsi" w:hAnsiTheme="minorHAnsi" w:cs="AdvOTb65e897d.B"/>
          <w:szCs w:val="22"/>
        </w:rPr>
        <w:t xml:space="preserve">70s and now </w:t>
      </w:r>
      <w:r w:rsidR="009D2588">
        <w:rPr>
          <w:rFonts w:asciiTheme="minorHAnsi" w:eastAsiaTheme="minorHAnsi" w:hAnsiTheme="minorHAnsi" w:cs="AdvOTb65e897d.B"/>
          <w:szCs w:val="22"/>
        </w:rPr>
        <w:t xml:space="preserve">account for </w:t>
      </w:r>
      <w:r>
        <w:rPr>
          <w:rFonts w:asciiTheme="minorHAnsi" w:eastAsiaTheme="minorHAnsi" w:hAnsiTheme="minorHAnsi" w:cs="AdvOTb65e897d.B"/>
          <w:szCs w:val="22"/>
        </w:rPr>
        <w:t>about half of the American petroleum supply</w:t>
      </w:r>
      <w:r w:rsidR="00366B2A">
        <w:rPr>
          <w:rFonts w:asciiTheme="minorHAnsi" w:eastAsiaTheme="minorHAnsi" w:hAnsiTheme="minorHAnsi" w:cs="AdvOTb65e897d.B"/>
          <w:szCs w:val="22"/>
        </w:rPr>
        <w:t>, a dependence that is fueling climate change</w:t>
      </w:r>
      <w:r>
        <w:rPr>
          <w:rFonts w:asciiTheme="minorHAnsi" w:eastAsiaTheme="minorHAnsi" w:hAnsiTheme="minorHAnsi" w:cs="AdvOTb65e897d.B"/>
          <w:szCs w:val="22"/>
        </w:rPr>
        <w:t>.</w:t>
      </w:r>
      <w:r w:rsidR="00BB17B9">
        <w:rPr>
          <w:rFonts w:asciiTheme="minorHAnsi" w:eastAsiaTheme="minorHAnsi" w:hAnsiTheme="minorHAnsi" w:cs="AdvOTb65e897d.B"/>
          <w:szCs w:val="22"/>
        </w:rPr>
        <w:t xml:space="preserve"> Regulations intended to mitiga</w:t>
      </w:r>
      <w:r w:rsidR="001952BD">
        <w:rPr>
          <w:rFonts w:asciiTheme="minorHAnsi" w:eastAsiaTheme="minorHAnsi" w:hAnsiTheme="minorHAnsi" w:cs="AdvOTb65e897d.B"/>
          <w:szCs w:val="22"/>
        </w:rPr>
        <w:t xml:space="preserve">te climate change, however, seek an 80% reduction in US greenhouse gas (GHG) emissions by 2050 in order to stabilize global GHG concentrations at low to medium levels. </w:t>
      </w:r>
      <w:r w:rsidR="00B10E68">
        <w:rPr>
          <w:rFonts w:asciiTheme="minorHAnsi" w:eastAsiaTheme="minorHAnsi" w:hAnsiTheme="minorHAnsi" w:cs="AdvOTb65e897d.B"/>
          <w:szCs w:val="22"/>
        </w:rPr>
        <w:t xml:space="preserve">Within </w:t>
      </w:r>
      <w:r w:rsidR="0027183E">
        <w:rPr>
          <w:rFonts w:asciiTheme="minorHAnsi" w:eastAsiaTheme="minorHAnsi" w:hAnsiTheme="minorHAnsi" w:cs="AdvOTb65e897d.B"/>
          <w:szCs w:val="22"/>
        </w:rPr>
        <w:t>the transportation sector, the two</w:t>
      </w:r>
      <w:r w:rsidR="00B10E68">
        <w:rPr>
          <w:rFonts w:asciiTheme="minorHAnsi" w:eastAsiaTheme="minorHAnsi" w:hAnsiTheme="minorHAnsi" w:cs="AdvOTb65e897d.B"/>
          <w:szCs w:val="22"/>
        </w:rPr>
        <w:t xml:space="preserve"> main options for reducing petroleum use and GHG emissions are fuel-use reduction and fuel substitution.</w:t>
      </w:r>
      <w:r w:rsidR="00E7536E">
        <w:rPr>
          <w:rFonts w:asciiTheme="minorHAnsi" w:eastAsiaTheme="minorHAnsi" w:hAnsiTheme="minorHAnsi" w:cs="AdvOTb65e897d.B"/>
          <w:szCs w:val="22"/>
        </w:rPr>
        <w:t xml:space="preserve"> </w:t>
      </w:r>
      <w:r w:rsidR="00B10E68">
        <w:rPr>
          <w:rFonts w:asciiTheme="minorHAnsi" w:eastAsiaTheme="minorHAnsi" w:hAnsiTheme="minorHAnsi" w:cs="AdvOTb65e897d.B"/>
          <w:szCs w:val="22"/>
        </w:rPr>
        <w:t>Given the current barriers to increasing ethanol-based biofuels (e.g. blend wall, slow growth in cellulosic biofuel production, regulatory uncertainty regarding the RFS), transportation electrification seems to offer a more immediate opportunity to displace gasoline.</w:t>
      </w:r>
      <w:r w:rsidR="00E7536E">
        <w:rPr>
          <w:rFonts w:asciiTheme="minorHAnsi" w:eastAsiaTheme="minorHAnsi" w:hAnsiTheme="minorHAnsi" w:cs="AdvOTb65e897d.B"/>
          <w:szCs w:val="22"/>
        </w:rPr>
        <w:t xml:space="preserve"> </w:t>
      </w:r>
      <w:r w:rsidR="00B10E68">
        <w:rPr>
          <w:rFonts w:asciiTheme="minorHAnsi" w:eastAsiaTheme="minorHAnsi" w:hAnsiTheme="minorHAnsi" w:cs="AdvOTb65e897d.B"/>
          <w:szCs w:val="22"/>
        </w:rPr>
        <w:t>Electrified vehicles (hybrid, plug-in hybrid or battery electric technologies)</w:t>
      </w:r>
      <w:r w:rsidR="007171E7">
        <w:rPr>
          <w:rFonts w:asciiTheme="minorHAnsi" w:eastAsiaTheme="minorHAnsi" w:hAnsiTheme="minorHAnsi" w:cs="AdvOTb65e897d.B"/>
          <w:szCs w:val="22"/>
        </w:rPr>
        <w:t xml:space="preserve"> could potentially replace, under favorable conditions, conventional gasoline vehicles.</w:t>
      </w:r>
      <w:r w:rsidR="00E33580">
        <w:rPr>
          <w:rFonts w:asciiTheme="minorHAnsi" w:eastAsiaTheme="minorHAnsi" w:hAnsiTheme="minorHAnsi" w:cs="AdvOTb65e897d.B"/>
          <w:szCs w:val="22"/>
        </w:rPr>
        <w:t xml:space="preserve"> R</w:t>
      </w:r>
      <w:r w:rsidR="00CC5EF2">
        <w:rPr>
          <w:rFonts w:asciiTheme="minorHAnsi" w:eastAsiaTheme="minorHAnsi" w:hAnsiTheme="minorHAnsi" w:cs="AdvOTb65e897d.B"/>
          <w:szCs w:val="22"/>
        </w:rPr>
        <w:t xml:space="preserve">esearchers </w:t>
      </w:r>
      <w:r w:rsidR="001952BD">
        <w:rPr>
          <w:rFonts w:asciiTheme="minorHAnsi" w:eastAsiaTheme="minorHAnsi" w:hAnsiTheme="minorHAnsi" w:cs="AdvOTb65e897d.B"/>
          <w:szCs w:val="22"/>
        </w:rPr>
        <w:t>at</w:t>
      </w:r>
      <w:r w:rsidR="00CC5EF2">
        <w:rPr>
          <w:rFonts w:asciiTheme="minorHAnsi" w:eastAsiaTheme="minorHAnsi" w:hAnsiTheme="minorHAnsi" w:cs="AdvOTb65e897d.B"/>
          <w:szCs w:val="22"/>
        </w:rPr>
        <w:t xml:space="preserve"> the DOE’</w:t>
      </w:r>
      <w:r w:rsidR="00E33580">
        <w:rPr>
          <w:rFonts w:asciiTheme="minorHAnsi" w:eastAsiaTheme="minorHAnsi" w:hAnsiTheme="minorHAnsi" w:cs="AdvOTb65e897d.B"/>
          <w:szCs w:val="22"/>
        </w:rPr>
        <w:t>s Great Lakes Bioenergy Center</w:t>
      </w:r>
      <w:r w:rsidR="007171E7">
        <w:rPr>
          <w:rFonts w:asciiTheme="minorHAnsi" w:eastAsiaTheme="minorHAnsi" w:hAnsiTheme="minorHAnsi" w:cs="AdvOTb65e897d.B"/>
          <w:szCs w:val="22"/>
        </w:rPr>
        <w:t xml:space="preserve"> were interested in the extent to which these vehicles could reduce petroleum consumption and GHG emissions, as well as the sensitivity of these impacts across various travel demand and technology scenarios,</w:t>
      </w:r>
      <w:r w:rsidR="001952BD">
        <w:rPr>
          <w:rFonts w:asciiTheme="minorHAnsi" w:eastAsiaTheme="minorHAnsi" w:hAnsiTheme="minorHAnsi" w:cs="AdvOTb65e897d.B"/>
          <w:szCs w:val="22"/>
        </w:rPr>
        <w:t xml:space="preserve"> including</w:t>
      </w:r>
      <w:r w:rsidR="007171E7">
        <w:rPr>
          <w:rFonts w:asciiTheme="minorHAnsi" w:eastAsiaTheme="minorHAnsi" w:hAnsiTheme="minorHAnsi" w:cs="AdvOTb65e897d.B"/>
          <w:szCs w:val="22"/>
        </w:rPr>
        <w:t>: (1</w:t>
      </w:r>
      <w:r w:rsidR="00452D45">
        <w:rPr>
          <w:rFonts w:asciiTheme="minorHAnsi" w:eastAsiaTheme="minorHAnsi" w:hAnsiTheme="minorHAnsi" w:cs="AdvOTb65e897d.B"/>
          <w:szCs w:val="22"/>
        </w:rPr>
        <w:t>)</w:t>
      </w:r>
      <w:r w:rsidR="00A75563">
        <w:rPr>
          <w:rFonts w:asciiTheme="minorHAnsi" w:eastAsiaTheme="minorHAnsi" w:hAnsiTheme="minorHAnsi" w:cs="AdvOTb65e897d.B"/>
          <w:szCs w:val="22"/>
        </w:rPr>
        <w:t xml:space="preserve"> </w:t>
      </w:r>
      <w:r w:rsidR="00452D45" w:rsidRPr="00452D45">
        <w:rPr>
          <w:rFonts w:asciiTheme="minorHAnsi" w:hAnsiTheme="minorHAnsi" w:cs="AdvOTb65e897d.B"/>
          <w:szCs w:val="22"/>
        </w:rPr>
        <w:t>Reference scenarios, which assumed no change to GHG intensity from current levels</w:t>
      </w:r>
      <w:r w:rsidR="00452D45">
        <w:rPr>
          <w:rFonts w:asciiTheme="minorHAnsi" w:hAnsiTheme="minorHAnsi" w:cs="AdvOTb65e897d.B"/>
          <w:szCs w:val="22"/>
        </w:rPr>
        <w:t xml:space="preserve">; (2) </w:t>
      </w:r>
      <w:r w:rsidR="00452D45" w:rsidRPr="00452D45">
        <w:rPr>
          <w:rFonts w:asciiTheme="minorHAnsi" w:eastAsiaTheme="minorHAnsi" w:hAnsiTheme="minorHAnsi" w:cs="AdvOTb65e897d.B"/>
          <w:szCs w:val="22"/>
        </w:rPr>
        <w:t xml:space="preserve">Petroleum-targeted scenarios, which assumed that electricity supply is decarbonized by 40% (which assumes most of the light duty vehicles are </w:t>
      </w:r>
      <w:r w:rsidR="00452D45">
        <w:rPr>
          <w:rFonts w:asciiTheme="minorHAnsi" w:eastAsiaTheme="minorHAnsi" w:hAnsiTheme="minorHAnsi" w:cs="AdvOTb65e897d.B"/>
          <w:szCs w:val="22"/>
        </w:rPr>
        <w:t xml:space="preserve">hybrid or plug-in hybrid); and </w:t>
      </w:r>
      <w:r w:rsidR="00452D45">
        <w:rPr>
          <w:rFonts w:asciiTheme="minorHAnsi" w:hAnsiTheme="minorHAnsi" w:cs="AdvOTb65e897d.B"/>
          <w:szCs w:val="22"/>
        </w:rPr>
        <w:t xml:space="preserve">(3) </w:t>
      </w:r>
      <w:r w:rsidR="00452D45" w:rsidRPr="00452D45">
        <w:rPr>
          <w:rFonts w:asciiTheme="minorHAnsi" w:eastAsiaTheme="minorHAnsi" w:hAnsiTheme="minorHAnsi" w:cs="AdvOTb65e897d.B"/>
          <w:szCs w:val="22"/>
        </w:rPr>
        <w:t>Climate-targeted scenarios, which assumed that electricity supply is decarbonized by 80%</w:t>
      </w:r>
      <w:r w:rsidR="00452D45">
        <w:rPr>
          <w:rFonts w:asciiTheme="minorHAnsi" w:eastAsiaTheme="minorHAnsi" w:hAnsiTheme="minorHAnsi" w:cs="AdvOTb65e897d.B"/>
          <w:szCs w:val="22"/>
        </w:rPr>
        <w:t>.</w:t>
      </w:r>
      <w:r w:rsidR="00E7536E">
        <w:rPr>
          <w:rFonts w:asciiTheme="minorHAnsi" w:eastAsiaTheme="minorHAnsi" w:hAnsiTheme="minorHAnsi" w:cs="AdvOTb65e897d.B"/>
          <w:szCs w:val="22"/>
        </w:rPr>
        <w:t xml:space="preserve"> </w:t>
      </w:r>
      <w:bookmarkStart w:id="0" w:name="_GoBack"/>
      <w:r w:rsidR="00452D45">
        <w:rPr>
          <w:rFonts w:asciiTheme="minorHAnsi" w:eastAsiaTheme="minorHAnsi" w:hAnsiTheme="minorHAnsi" w:cs="AdvOTb65e897d.B"/>
          <w:szCs w:val="22"/>
        </w:rPr>
        <w:t>The model showed that w</w:t>
      </w:r>
      <w:r w:rsidR="00452D45">
        <w:rPr>
          <w:rFonts w:asciiTheme="minorHAnsi" w:hAnsiTheme="minorHAnsi" w:cs="AdvOTb65e897d.B"/>
          <w:szCs w:val="22"/>
        </w:rPr>
        <w:t>ith high rates o</w:t>
      </w:r>
      <w:r w:rsidR="007937DE" w:rsidRPr="00452D45">
        <w:rPr>
          <w:rFonts w:asciiTheme="minorHAnsi" w:hAnsiTheme="minorHAnsi" w:cs="AdvOTb65e897d.B"/>
          <w:szCs w:val="22"/>
        </w:rPr>
        <w:t>f electrification (40% of miles traveled), the petroleum-red</w:t>
      </w:r>
      <w:r w:rsidR="00452D45">
        <w:rPr>
          <w:rFonts w:asciiTheme="minorHAnsi" w:hAnsiTheme="minorHAnsi" w:cs="AdvOTb65e897d.B"/>
          <w:szCs w:val="22"/>
        </w:rPr>
        <w:t>uction benchmark could be satis</w:t>
      </w:r>
      <w:r w:rsidR="007937DE" w:rsidRPr="00452D45">
        <w:rPr>
          <w:rFonts w:asciiTheme="minorHAnsi" w:hAnsiTheme="minorHAnsi" w:cs="AdvOTb65e897d.B"/>
          <w:szCs w:val="22"/>
        </w:rPr>
        <w:t>fied, even with high travel demand growth.</w:t>
      </w:r>
      <w:r w:rsidR="00452D45">
        <w:rPr>
          <w:rFonts w:asciiTheme="minorHAnsi" w:hAnsiTheme="minorHAnsi" w:cs="AdvOTb65e897d.B"/>
          <w:szCs w:val="22"/>
        </w:rPr>
        <w:t xml:space="preserve"> </w:t>
      </w:r>
      <w:r w:rsidR="007937DE" w:rsidRPr="00452D45">
        <w:rPr>
          <w:rFonts w:asciiTheme="minorHAnsi" w:eastAsiaTheme="minorHAnsi" w:hAnsiTheme="minorHAnsi" w:cs="AdvOTb65e897d.B"/>
          <w:szCs w:val="22"/>
        </w:rPr>
        <w:t>However, those same scenarios could not satisfy 80% of GHG-reduction targets, even assuming 80% decarbonized electricity</w:t>
      </w:r>
      <w:r w:rsidR="00452D45">
        <w:rPr>
          <w:rFonts w:asciiTheme="minorHAnsi" w:eastAsiaTheme="minorHAnsi" w:hAnsiTheme="minorHAnsi" w:cs="AdvOTb65e897d.B"/>
          <w:szCs w:val="22"/>
        </w:rPr>
        <w:t>, which includes a significant contribution from cellulosic biofuels</w:t>
      </w:r>
      <w:r w:rsidR="00452D45">
        <w:rPr>
          <w:rFonts w:asciiTheme="minorHAnsi" w:hAnsiTheme="minorHAnsi" w:cs="AdvOTb65e897d.B"/>
          <w:szCs w:val="22"/>
        </w:rPr>
        <w:t>.</w:t>
      </w:r>
      <w:r w:rsidR="00E7536E">
        <w:rPr>
          <w:rFonts w:asciiTheme="minorHAnsi" w:hAnsiTheme="minorHAnsi" w:cs="AdvOTb65e897d.B"/>
          <w:szCs w:val="22"/>
        </w:rPr>
        <w:t xml:space="preserve"> </w:t>
      </w:r>
      <w:r w:rsidR="00452D45" w:rsidRPr="00452D45">
        <w:rPr>
          <w:rFonts w:asciiTheme="minorHAnsi" w:eastAsiaTheme="minorHAnsi" w:hAnsiTheme="minorHAnsi" w:cs="AdvOTb65e897d.B"/>
          <w:szCs w:val="22"/>
        </w:rPr>
        <w:t>At a relatively high rate of electrification (40% of miles and 24% by fuel), an 80% GHG reduction could only be achieved with significant quantities of low-carbon liquid fuel in cases with low or moderate travel growth</w:t>
      </w:r>
      <w:r w:rsidR="00452D45">
        <w:rPr>
          <w:rFonts w:asciiTheme="minorHAnsi" w:eastAsiaTheme="minorHAnsi" w:hAnsiTheme="minorHAnsi" w:cs="AdvOTb65e897d.B"/>
          <w:szCs w:val="22"/>
        </w:rPr>
        <w:t xml:space="preserve">. </w:t>
      </w:r>
      <w:r w:rsidR="001952BD">
        <w:rPr>
          <w:rFonts w:asciiTheme="minorHAnsi" w:eastAsiaTheme="minorHAnsi" w:hAnsiTheme="minorHAnsi" w:cs="AdvOTb65e897d.B"/>
          <w:szCs w:val="22"/>
        </w:rPr>
        <w:t xml:space="preserve">Importantly, the </w:t>
      </w:r>
      <w:r w:rsidR="00452D45">
        <w:rPr>
          <w:rFonts w:asciiTheme="minorHAnsi" w:eastAsiaTheme="minorHAnsi" w:hAnsiTheme="minorHAnsi" w:cs="AdvOTb65e897d.B"/>
          <w:szCs w:val="22"/>
        </w:rPr>
        <w:t>model considered fuel demands only for light duty transportation, which is responsible for about more than half of the US petroleum used in the transportation sector, and for which there is already a significant level of electrification.</w:t>
      </w:r>
      <w:r w:rsidR="00E7536E">
        <w:rPr>
          <w:rFonts w:asciiTheme="minorHAnsi" w:eastAsiaTheme="minorHAnsi" w:hAnsiTheme="minorHAnsi" w:cs="AdvOTb65e897d.B"/>
          <w:szCs w:val="22"/>
        </w:rPr>
        <w:t xml:space="preserve"> </w:t>
      </w:r>
      <w:r w:rsidR="00452D45">
        <w:rPr>
          <w:rFonts w:asciiTheme="minorHAnsi" w:eastAsiaTheme="minorHAnsi" w:hAnsiTheme="minorHAnsi" w:cs="AdvOTb65e897d.B"/>
          <w:szCs w:val="22"/>
        </w:rPr>
        <w:t xml:space="preserve">However, electricity is not feasible for powering planes, heavy trucks, and marine vessels, </w:t>
      </w:r>
      <w:r w:rsidR="001952BD">
        <w:rPr>
          <w:rFonts w:asciiTheme="minorHAnsi" w:eastAsiaTheme="minorHAnsi" w:hAnsiTheme="minorHAnsi" w:cs="AdvOTb65e897d.B"/>
          <w:szCs w:val="22"/>
        </w:rPr>
        <w:t xml:space="preserve">suggesting that an even higher reliance on cellulosic biofuels would be needed to achieve </w:t>
      </w:r>
      <w:r w:rsidR="00A94BA8">
        <w:rPr>
          <w:rFonts w:asciiTheme="minorHAnsi" w:eastAsiaTheme="minorHAnsi" w:hAnsiTheme="minorHAnsi" w:cs="AdvOTb65e897d.B"/>
          <w:szCs w:val="22"/>
        </w:rPr>
        <w:t xml:space="preserve">comparable </w:t>
      </w:r>
      <w:r w:rsidR="001952BD">
        <w:rPr>
          <w:rFonts w:asciiTheme="minorHAnsi" w:eastAsiaTheme="minorHAnsi" w:hAnsiTheme="minorHAnsi" w:cs="AdvOTb65e897d.B"/>
          <w:szCs w:val="22"/>
        </w:rPr>
        <w:t>GH</w:t>
      </w:r>
      <w:r w:rsidR="00A94BA8">
        <w:rPr>
          <w:rFonts w:asciiTheme="minorHAnsi" w:eastAsiaTheme="minorHAnsi" w:hAnsiTheme="minorHAnsi" w:cs="AdvOTb65e897d.B"/>
          <w:szCs w:val="22"/>
        </w:rPr>
        <w:t>G</w:t>
      </w:r>
      <w:r w:rsidR="001952BD">
        <w:rPr>
          <w:rFonts w:asciiTheme="minorHAnsi" w:eastAsiaTheme="minorHAnsi" w:hAnsiTheme="minorHAnsi" w:cs="AdvOTb65e897d.B"/>
          <w:szCs w:val="22"/>
        </w:rPr>
        <w:t xml:space="preserve"> targets across other transportation modes.</w:t>
      </w:r>
      <w:bookmarkEnd w:id="0"/>
    </w:p>
    <w:p w14:paraId="64883C39" w14:textId="01FB998E" w:rsidR="007171E7" w:rsidRPr="00D96CAB" w:rsidRDefault="008119FF" w:rsidP="007171E7">
      <w:pPr>
        <w:rPr>
          <w:rFonts w:ascii="Calibri" w:hAnsi="Calibri"/>
          <w:szCs w:val="22"/>
        </w:rPr>
      </w:pPr>
      <w:r w:rsidRPr="00D96CAB">
        <w:rPr>
          <w:rFonts w:ascii="Calibri" w:hAnsi="Calibri"/>
          <w:b/>
          <w:szCs w:val="22"/>
        </w:rPr>
        <w:t>References:</w:t>
      </w:r>
      <w:r w:rsidR="0089781E" w:rsidRPr="00D96CAB">
        <w:rPr>
          <w:rFonts w:ascii="Calibri" w:hAnsi="Calibri"/>
          <w:szCs w:val="22"/>
        </w:rPr>
        <w:t xml:space="preserve"> </w:t>
      </w:r>
      <w:r w:rsidR="0027183E">
        <w:rPr>
          <w:rFonts w:ascii="Calibri" w:hAnsi="Calibri"/>
          <w:szCs w:val="22"/>
        </w:rPr>
        <w:t>Mei</w:t>
      </w:r>
      <w:r w:rsidR="007171E7" w:rsidRPr="00D96CAB">
        <w:rPr>
          <w:rFonts w:ascii="Calibri" w:hAnsi="Calibri"/>
          <w:szCs w:val="22"/>
        </w:rPr>
        <w:t>er, P.J.</w:t>
      </w:r>
      <w:r w:rsidR="007937DE">
        <w:rPr>
          <w:rFonts w:ascii="Calibri" w:hAnsi="Calibri"/>
          <w:szCs w:val="22"/>
        </w:rPr>
        <w:t xml:space="preserve">, Cronin, K.R., Frost, E.A., </w:t>
      </w:r>
      <w:proofErr w:type="spellStart"/>
      <w:r w:rsidR="009B2FA0">
        <w:rPr>
          <w:rFonts w:ascii="Calibri" w:hAnsi="Calibri"/>
          <w:szCs w:val="22"/>
        </w:rPr>
        <w:t>Runge</w:t>
      </w:r>
      <w:proofErr w:type="spellEnd"/>
      <w:r w:rsidR="009B2FA0">
        <w:rPr>
          <w:rFonts w:ascii="Calibri" w:hAnsi="Calibri"/>
          <w:szCs w:val="22"/>
        </w:rPr>
        <w:t xml:space="preserve">, T.M., Dale, B.E., </w:t>
      </w:r>
      <w:proofErr w:type="spellStart"/>
      <w:r w:rsidR="009B2FA0">
        <w:rPr>
          <w:rFonts w:ascii="Calibri" w:hAnsi="Calibri"/>
          <w:szCs w:val="22"/>
        </w:rPr>
        <w:t>Reinemann</w:t>
      </w:r>
      <w:proofErr w:type="spellEnd"/>
      <w:r w:rsidR="009B2FA0">
        <w:rPr>
          <w:rFonts w:ascii="Calibri" w:hAnsi="Calibri"/>
          <w:szCs w:val="22"/>
        </w:rPr>
        <w:t xml:space="preserve">, D.J., and </w:t>
      </w:r>
      <w:proofErr w:type="spellStart"/>
      <w:r w:rsidR="009B2FA0">
        <w:rPr>
          <w:rFonts w:ascii="Calibri" w:hAnsi="Calibri"/>
          <w:szCs w:val="22"/>
        </w:rPr>
        <w:t>Detlor</w:t>
      </w:r>
      <w:proofErr w:type="spellEnd"/>
      <w:r w:rsidR="009B2FA0">
        <w:rPr>
          <w:rFonts w:ascii="Calibri" w:hAnsi="Calibri"/>
          <w:szCs w:val="22"/>
        </w:rPr>
        <w:t>, J</w:t>
      </w:r>
      <w:r w:rsidR="007171E7" w:rsidRPr="00D96CAB">
        <w:rPr>
          <w:rFonts w:ascii="Calibri" w:hAnsi="Calibri"/>
          <w:szCs w:val="22"/>
        </w:rPr>
        <w:t>. 2015</w:t>
      </w:r>
      <w:r w:rsidR="007171E7" w:rsidRPr="00D96CAB">
        <w:rPr>
          <w:rFonts w:ascii="Calibri" w:hAnsi="Calibri"/>
          <w:i/>
          <w:iCs/>
          <w:szCs w:val="22"/>
        </w:rPr>
        <w:t xml:space="preserve">. </w:t>
      </w:r>
      <w:proofErr w:type="gramStart"/>
      <w:r w:rsidR="007171E7" w:rsidRPr="00D96CAB">
        <w:rPr>
          <w:rFonts w:ascii="Calibri" w:hAnsi="Calibri"/>
          <w:i/>
          <w:iCs/>
          <w:szCs w:val="22"/>
        </w:rPr>
        <w:t>The Potential for Electrified Vehicles to Contribute to U.S. Petroleum and Climate Goals and Implications for Advanced Biofuels.</w:t>
      </w:r>
      <w:proofErr w:type="gramEnd"/>
      <w:r w:rsidR="007171E7" w:rsidRPr="00D96CAB">
        <w:rPr>
          <w:rFonts w:ascii="Calibri" w:hAnsi="Calibri"/>
          <w:i/>
          <w:iCs/>
          <w:szCs w:val="22"/>
        </w:rPr>
        <w:t xml:space="preserve"> </w:t>
      </w:r>
      <w:r w:rsidR="007171E7" w:rsidRPr="00D96CAB">
        <w:rPr>
          <w:rFonts w:ascii="Calibri" w:hAnsi="Calibri"/>
          <w:b/>
          <w:bCs/>
          <w:szCs w:val="22"/>
        </w:rPr>
        <w:t>Environmental Science &amp; Technology</w:t>
      </w:r>
      <w:r w:rsidR="007171E7" w:rsidRPr="00D96CAB">
        <w:rPr>
          <w:rFonts w:ascii="Calibri" w:hAnsi="Calibri"/>
          <w:szCs w:val="22"/>
        </w:rPr>
        <w:t>, </w:t>
      </w:r>
      <w:proofErr w:type="spellStart"/>
      <w:r w:rsidR="00D96CAB" w:rsidRPr="00D96CAB">
        <w:rPr>
          <w:rFonts w:ascii="Calibri" w:hAnsi="Calibri"/>
          <w:szCs w:val="22"/>
        </w:rPr>
        <w:t>doi</w:t>
      </w:r>
      <w:proofErr w:type="spellEnd"/>
      <w:r w:rsidR="00D96CAB" w:rsidRPr="00D96CAB">
        <w:rPr>
          <w:rFonts w:ascii="Calibri" w:hAnsi="Calibri"/>
          <w:szCs w:val="22"/>
        </w:rPr>
        <w:t xml:space="preserve">: </w:t>
      </w:r>
      <w:r w:rsidR="00D96CAB" w:rsidRPr="00D96CAB">
        <w:rPr>
          <w:rFonts w:ascii="Calibri" w:eastAsia="Times New Roman" w:hAnsi="Calibri"/>
        </w:rPr>
        <w:t>10.1021/acs.est.5b01691</w:t>
      </w:r>
      <w:r w:rsidR="007171E7" w:rsidRPr="00D96CAB">
        <w:rPr>
          <w:rFonts w:ascii="Calibri" w:hAnsi="Calibri"/>
          <w:szCs w:val="22"/>
        </w:rPr>
        <w:t>.</w:t>
      </w:r>
    </w:p>
    <w:p w14:paraId="597B3BDC" w14:textId="77777777" w:rsidR="008119FF" w:rsidRPr="0089781E" w:rsidRDefault="008119FF" w:rsidP="0089781E">
      <w:pPr>
        <w:rPr>
          <w:rFonts w:asciiTheme="minorHAnsi" w:hAnsiTheme="minorHAnsi"/>
          <w:szCs w:val="22"/>
        </w:rPr>
      </w:pPr>
    </w:p>
    <w:p w14:paraId="67B44900" w14:textId="77777777" w:rsidR="008119FF" w:rsidRPr="0089781E" w:rsidRDefault="008119FF" w:rsidP="008119FF">
      <w:pPr>
        <w:tabs>
          <w:tab w:val="left" w:pos="360"/>
        </w:tabs>
        <w:spacing w:after="0" w:line="300" w:lineRule="exact"/>
        <w:rPr>
          <w:rFonts w:asciiTheme="minorHAnsi" w:hAnsiTheme="minorHAns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sectPr w:rsidR="008119FF" w:rsidRPr="0089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FC5"/>
    <w:multiLevelType w:val="hybridMultilevel"/>
    <w:tmpl w:val="562EBBA4"/>
    <w:lvl w:ilvl="0" w:tplc="07BAECE8">
      <w:start w:val="1"/>
      <w:numFmt w:val="bullet"/>
      <w:lvlText w:val=""/>
      <w:lvlJc w:val="left"/>
      <w:pPr>
        <w:tabs>
          <w:tab w:val="num" w:pos="720"/>
        </w:tabs>
        <w:ind w:left="720" w:hanging="360"/>
      </w:pPr>
      <w:rPr>
        <w:rFonts w:ascii="Wingdings" w:hAnsi="Wingdings" w:hint="default"/>
      </w:rPr>
    </w:lvl>
    <w:lvl w:ilvl="1" w:tplc="485099E6" w:tentative="1">
      <w:start w:val="1"/>
      <w:numFmt w:val="bullet"/>
      <w:lvlText w:val=""/>
      <w:lvlJc w:val="left"/>
      <w:pPr>
        <w:tabs>
          <w:tab w:val="num" w:pos="1440"/>
        </w:tabs>
        <w:ind w:left="1440" w:hanging="360"/>
      </w:pPr>
      <w:rPr>
        <w:rFonts w:ascii="Wingdings" w:hAnsi="Wingdings" w:hint="default"/>
      </w:rPr>
    </w:lvl>
    <w:lvl w:ilvl="2" w:tplc="79204E92" w:tentative="1">
      <w:start w:val="1"/>
      <w:numFmt w:val="bullet"/>
      <w:lvlText w:val=""/>
      <w:lvlJc w:val="left"/>
      <w:pPr>
        <w:tabs>
          <w:tab w:val="num" w:pos="2160"/>
        </w:tabs>
        <w:ind w:left="2160" w:hanging="360"/>
      </w:pPr>
      <w:rPr>
        <w:rFonts w:ascii="Wingdings" w:hAnsi="Wingdings" w:hint="default"/>
      </w:rPr>
    </w:lvl>
    <w:lvl w:ilvl="3" w:tplc="C33E97A6" w:tentative="1">
      <w:start w:val="1"/>
      <w:numFmt w:val="bullet"/>
      <w:lvlText w:val=""/>
      <w:lvlJc w:val="left"/>
      <w:pPr>
        <w:tabs>
          <w:tab w:val="num" w:pos="2880"/>
        </w:tabs>
        <w:ind w:left="2880" w:hanging="360"/>
      </w:pPr>
      <w:rPr>
        <w:rFonts w:ascii="Wingdings" w:hAnsi="Wingdings" w:hint="default"/>
      </w:rPr>
    </w:lvl>
    <w:lvl w:ilvl="4" w:tplc="32DC86BA" w:tentative="1">
      <w:start w:val="1"/>
      <w:numFmt w:val="bullet"/>
      <w:lvlText w:val=""/>
      <w:lvlJc w:val="left"/>
      <w:pPr>
        <w:tabs>
          <w:tab w:val="num" w:pos="3600"/>
        </w:tabs>
        <w:ind w:left="3600" w:hanging="360"/>
      </w:pPr>
      <w:rPr>
        <w:rFonts w:ascii="Wingdings" w:hAnsi="Wingdings" w:hint="default"/>
      </w:rPr>
    </w:lvl>
    <w:lvl w:ilvl="5" w:tplc="00ECDF64" w:tentative="1">
      <w:start w:val="1"/>
      <w:numFmt w:val="bullet"/>
      <w:lvlText w:val=""/>
      <w:lvlJc w:val="left"/>
      <w:pPr>
        <w:tabs>
          <w:tab w:val="num" w:pos="4320"/>
        </w:tabs>
        <w:ind w:left="4320" w:hanging="360"/>
      </w:pPr>
      <w:rPr>
        <w:rFonts w:ascii="Wingdings" w:hAnsi="Wingdings" w:hint="default"/>
      </w:rPr>
    </w:lvl>
    <w:lvl w:ilvl="6" w:tplc="A7563390" w:tentative="1">
      <w:start w:val="1"/>
      <w:numFmt w:val="bullet"/>
      <w:lvlText w:val=""/>
      <w:lvlJc w:val="left"/>
      <w:pPr>
        <w:tabs>
          <w:tab w:val="num" w:pos="5040"/>
        </w:tabs>
        <w:ind w:left="5040" w:hanging="360"/>
      </w:pPr>
      <w:rPr>
        <w:rFonts w:ascii="Wingdings" w:hAnsi="Wingdings" w:hint="default"/>
      </w:rPr>
    </w:lvl>
    <w:lvl w:ilvl="7" w:tplc="66123A0E" w:tentative="1">
      <w:start w:val="1"/>
      <w:numFmt w:val="bullet"/>
      <w:lvlText w:val=""/>
      <w:lvlJc w:val="left"/>
      <w:pPr>
        <w:tabs>
          <w:tab w:val="num" w:pos="5760"/>
        </w:tabs>
        <w:ind w:left="5760" w:hanging="360"/>
      </w:pPr>
      <w:rPr>
        <w:rFonts w:ascii="Wingdings" w:hAnsi="Wingdings" w:hint="default"/>
      </w:rPr>
    </w:lvl>
    <w:lvl w:ilvl="8" w:tplc="BC7219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1952BD"/>
    <w:rsid w:val="001F0E2A"/>
    <w:rsid w:val="00241597"/>
    <w:rsid w:val="0027183E"/>
    <w:rsid w:val="00366B2A"/>
    <w:rsid w:val="00452D45"/>
    <w:rsid w:val="004F0903"/>
    <w:rsid w:val="005D236C"/>
    <w:rsid w:val="007171E7"/>
    <w:rsid w:val="007937DE"/>
    <w:rsid w:val="008119FF"/>
    <w:rsid w:val="0089781E"/>
    <w:rsid w:val="0094060E"/>
    <w:rsid w:val="00971C08"/>
    <w:rsid w:val="0098299F"/>
    <w:rsid w:val="009B2FA0"/>
    <w:rsid w:val="009D2588"/>
    <w:rsid w:val="00A75563"/>
    <w:rsid w:val="00A94BA8"/>
    <w:rsid w:val="00B10E68"/>
    <w:rsid w:val="00B34971"/>
    <w:rsid w:val="00B6334B"/>
    <w:rsid w:val="00BB17B9"/>
    <w:rsid w:val="00CC5EF2"/>
    <w:rsid w:val="00D6104B"/>
    <w:rsid w:val="00D72081"/>
    <w:rsid w:val="00D96CAB"/>
    <w:rsid w:val="00E33580"/>
    <w:rsid w:val="00E7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E7"/>
    <w:rPr>
      <w:rFonts w:ascii="Times" w:eastAsiaTheme="minorHAnsi" w:hAnsi="Times"/>
      <w:sz w:val="20"/>
      <w:szCs w:val="20"/>
    </w:rPr>
  </w:style>
  <w:style w:type="paragraph" w:styleId="ListParagraph">
    <w:name w:val="List Paragraph"/>
    <w:basedOn w:val="Normal"/>
    <w:uiPriority w:val="34"/>
    <w:qFormat/>
    <w:rsid w:val="00452D45"/>
    <w:pPr>
      <w:spacing w:before="0" w:beforeAutospacing="0" w:after="0" w:afterAutospacing="0"/>
      <w:ind w:left="720"/>
      <w:contextualSpacing/>
    </w:pPr>
    <w:rPr>
      <w:rFonts w:ascii="Times" w:eastAsiaTheme="minorHAnsi" w:hAnsi="Times" w:cstheme="minorBidi"/>
      <w:sz w:val="20"/>
      <w:szCs w:val="20"/>
    </w:rPr>
  </w:style>
  <w:style w:type="paragraph" w:styleId="BalloonText">
    <w:name w:val="Balloon Text"/>
    <w:basedOn w:val="Normal"/>
    <w:link w:val="BalloonTextChar"/>
    <w:uiPriority w:val="99"/>
    <w:semiHidden/>
    <w:unhideWhenUsed/>
    <w:rsid w:val="004F0903"/>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F0903"/>
    <w:rPr>
      <w:rFonts w:ascii="Lucida Grande" w:eastAsiaTheme="minorEastAsia"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E7"/>
    <w:rPr>
      <w:rFonts w:ascii="Times" w:eastAsiaTheme="minorHAnsi" w:hAnsi="Times"/>
      <w:sz w:val="20"/>
      <w:szCs w:val="20"/>
    </w:rPr>
  </w:style>
  <w:style w:type="paragraph" w:styleId="ListParagraph">
    <w:name w:val="List Paragraph"/>
    <w:basedOn w:val="Normal"/>
    <w:uiPriority w:val="34"/>
    <w:qFormat/>
    <w:rsid w:val="00452D45"/>
    <w:pPr>
      <w:spacing w:before="0" w:beforeAutospacing="0" w:after="0" w:afterAutospacing="0"/>
      <w:ind w:left="720"/>
      <w:contextualSpacing/>
    </w:pPr>
    <w:rPr>
      <w:rFonts w:ascii="Times" w:eastAsiaTheme="minorHAnsi" w:hAnsi="Times" w:cstheme="minorBidi"/>
      <w:sz w:val="20"/>
      <w:szCs w:val="20"/>
    </w:rPr>
  </w:style>
  <w:style w:type="paragraph" w:styleId="BalloonText">
    <w:name w:val="Balloon Text"/>
    <w:basedOn w:val="Normal"/>
    <w:link w:val="BalloonTextChar"/>
    <w:uiPriority w:val="99"/>
    <w:semiHidden/>
    <w:unhideWhenUsed/>
    <w:rsid w:val="004F0903"/>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F0903"/>
    <w:rPr>
      <w:rFonts w:ascii="Lucida Grande" w:eastAsiaTheme="minorEastAsia"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8387">
      <w:bodyDiv w:val="1"/>
      <w:marLeft w:val="0"/>
      <w:marRight w:val="0"/>
      <w:marTop w:val="0"/>
      <w:marBottom w:val="0"/>
      <w:divBdr>
        <w:top w:val="none" w:sz="0" w:space="0" w:color="auto"/>
        <w:left w:val="none" w:sz="0" w:space="0" w:color="auto"/>
        <w:bottom w:val="none" w:sz="0" w:space="0" w:color="auto"/>
        <w:right w:val="none" w:sz="0" w:space="0" w:color="auto"/>
      </w:divBdr>
    </w:div>
    <w:div w:id="266012898">
      <w:bodyDiv w:val="1"/>
      <w:marLeft w:val="0"/>
      <w:marRight w:val="0"/>
      <w:marTop w:val="0"/>
      <w:marBottom w:val="0"/>
      <w:divBdr>
        <w:top w:val="none" w:sz="0" w:space="0" w:color="auto"/>
        <w:left w:val="none" w:sz="0" w:space="0" w:color="auto"/>
        <w:bottom w:val="none" w:sz="0" w:space="0" w:color="auto"/>
        <w:right w:val="none" w:sz="0" w:space="0" w:color="auto"/>
      </w:divBdr>
    </w:div>
    <w:div w:id="432867867">
      <w:bodyDiv w:val="1"/>
      <w:marLeft w:val="0"/>
      <w:marRight w:val="0"/>
      <w:marTop w:val="0"/>
      <w:marBottom w:val="0"/>
      <w:divBdr>
        <w:top w:val="none" w:sz="0" w:space="0" w:color="auto"/>
        <w:left w:val="none" w:sz="0" w:space="0" w:color="auto"/>
        <w:bottom w:val="none" w:sz="0" w:space="0" w:color="auto"/>
        <w:right w:val="none" w:sz="0" w:space="0" w:color="auto"/>
      </w:divBdr>
      <w:divsChild>
        <w:div w:id="1617325301">
          <w:marLeft w:val="446"/>
          <w:marRight w:val="0"/>
          <w:marTop w:val="0"/>
          <w:marBottom w:val="0"/>
          <w:divBdr>
            <w:top w:val="none" w:sz="0" w:space="0" w:color="auto"/>
            <w:left w:val="none" w:sz="0" w:space="0" w:color="auto"/>
            <w:bottom w:val="none" w:sz="0" w:space="0" w:color="auto"/>
            <w:right w:val="none" w:sz="0" w:space="0" w:color="auto"/>
          </w:divBdr>
        </w:div>
        <w:div w:id="2088186621">
          <w:marLeft w:val="446"/>
          <w:marRight w:val="0"/>
          <w:marTop w:val="0"/>
          <w:marBottom w:val="0"/>
          <w:divBdr>
            <w:top w:val="none" w:sz="0" w:space="0" w:color="auto"/>
            <w:left w:val="none" w:sz="0" w:space="0" w:color="auto"/>
            <w:bottom w:val="none" w:sz="0" w:space="0" w:color="auto"/>
            <w:right w:val="none" w:sz="0" w:space="0" w:color="auto"/>
          </w:divBdr>
        </w:div>
      </w:divsChild>
    </w:div>
    <w:div w:id="4441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HUBDOC-169-488</_dlc_DocId>
    <_dlc_DocIdUrl xmlns="f66da2ca-f37c-4205-929f-e8e9af1907d3">
      <Url>https://intranet.wei.wisc.edu/glbrc/doe/_layouts/15/DocIdRedir.aspx?ID=HUBDOC-169-488</Url>
      <Description>HUBDOC-169-488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88F9B-956F-430F-8D7E-6CB0C9401BCF}">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C767DDA7-7C97-4118-BBA5-609E33D8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D15A5-E508-4E60-95C0-13283056D44D}">
  <ds:schemaRefs>
    <ds:schemaRef ds:uri="http://schemas.microsoft.com/sharepoint/v3/contenttype/forms"/>
  </ds:schemaRefs>
</ds:datastoreItem>
</file>

<file path=customXml/itemProps4.xml><?xml version="1.0" encoding="utf-8"?>
<ds:datastoreItem xmlns:ds="http://schemas.openxmlformats.org/officeDocument/2006/customXml" ds:itemID="{2B97CEDB-E27E-4DA1-92F6-228975CE65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Kent Peters</dc:creator>
  <cp:lastModifiedBy>Matt Wisniewski</cp:lastModifiedBy>
  <cp:revision>4</cp:revision>
  <dcterms:created xsi:type="dcterms:W3CDTF">2015-07-02T19:44:00Z</dcterms:created>
  <dcterms:modified xsi:type="dcterms:W3CDTF">2015-07-03T14:29:00Z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fd11a623-d732-485e-b530-b5e82bd251a6</vt:lpwstr>
  </property>
  <property fmtid="{D5CDD505-2E9C-101B-9397-08002B2CF9AE}" pid="4" name="TaxKeyword">
    <vt:lpwstr/>
  </property>
</Properties>
</file>