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F399" w14:textId="77777777" w:rsidR="0098299F" w:rsidRPr="0089781E" w:rsidRDefault="0098299F" w:rsidP="0098299F">
      <w:pPr>
        <w:rPr>
          <w:rFonts w:asciiTheme="minorHAnsi" w:eastAsiaTheme="minorHAnsi" w:hAnsiTheme="minorHAnsi" w:cs="AdvOTb65e897d.B"/>
          <w:sz w:val="19"/>
          <w:szCs w:val="19"/>
        </w:rPr>
      </w:pPr>
    </w:p>
    <w:p w14:paraId="3BF14005" w14:textId="40E8E896" w:rsidR="00527825" w:rsidRPr="00527825" w:rsidRDefault="00EA7BF3" w:rsidP="00527825">
      <w:pPr>
        <w:rPr>
          <w:rFonts w:asciiTheme="minorHAnsi" w:eastAsiaTheme="minorHAnsi" w:hAnsiTheme="minorHAnsi" w:cs="AdvOTb65e897d.B"/>
          <w:b/>
          <w:szCs w:val="22"/>
        </w:rPr>
      </w:pPr>
      <w:r>
        <w:rPr>
          <w:rFonts w:asciiTheme="minorHAnsi" w:eastAsiaTheme="minorHAnsi" w:hAnsiTheme="minorHAnsi" w:cs="AdvOTb65e897d.B"/>
          <w:b/>
          <w:bCs/>
          <w:szCs w:val="22"/>
        </w:rPr>
        <w:t xml:space="preserve">Modeling a </w:t>
      </w:r>
      <w:proofErr w:type="spellStart"/>
      <w:r>
        <w:rPr>
          <w:rFonts w:asciiTheme="minorHAnsi" w:eastAsiaTheme="minorHAnsi" w:hAnsiTheme="minorHAnsi" w:cs="AdvOTb65e897d.B"/>
          <w:b/>
          <w:bCs/>
          <w:szCs w:val="22"/>
        </w:rPr>
        <w:t>biorefinery</w:t>
      </w:r>
      <w:proofErr w:type="spellEnd"/>
      <w:r>
        <w:rPr>
          <w:rFonts w:asciiTheme="minorHAnsi" w:eastAsiaTheme="minorHAnsi" w:hAnsiTheme="minorHAnsi" w:cs="AdvOTb65e897d.B"/>
          <w:b/>
          <w:bCs/>
          <w:szCs w:val="22"/>
        </w:rPr>
        <w:t xml:space="preserve"> for production of furfural and </w:t>
      </w:r>
      <w:proofErr w:type="spellStart"/>
      <w:r>
        <w:rPr>
          <w:rFonts w:asciiTheme="minorHAnsi" w:eastAsiaTheme="minorHAnsi" w:hAnsiTheme="minorHAnsi" w:cs="AdvOTb65e897d.B"/>
          <w:b/>
          <w:bCs/>
          <w:szCs w:val="22"/>
        </w:rPr>
        <w:t>furfuryl</w:t>
      </w:r>
      <w:proofErr w:type="spellEnd"/>
      <w:r>
        <w:rPr>
          <w:rFonts w:asciiTheme="minorHAnsi" w:eastAsiaTheme="minorHAnsi" w:hAnsiTheme="minorHAnsi" w:cs="AdvOTb65e897d.B"/>
          <w:b/>
          <w:bCs/>
          <w:szCs w:val="22"/>
        </w:rPr>
        <w:t xml:space="preserve"> alcohol in a green, high-yield process.</w:t>
      </w:r>
    </w:p>
    <w:p w14:paraId="4362777D" w14:textId="1F34FC9B" w:rsidR="00202A92" w:rsidRDefault="007D4194" w:rsidP="00767F72">
      <w:pPr>
        <w:rPr>
          <w:rFonts w:asciiTheme="minorHAnsi" w:eastAsiaTheme="minorHAnsi" w:hAnsiTheme="minorHAnsi" w:cs="AdvOTb65e897d.B"/>
          <w:szCs w:val="22"/>
        </w:rPr>
      </w:pPr>
      <w:r>
        <w:rPr>
          <w:rFonts w:asciiTheme="minorHAnsi" w:eastAsiaTheme="minorHAnsi" w:hAnsiTheme="minorHAnsi" w:cs="AdvOTb65e897d.B"/>
          <w:szCs w:val="22"/>
        </w:rPr>
        <w:t>Bio-based societies could become a reality when biomass-derived renewable substitutes are</w:t>
      </w:r>
      <w:r w:rsidR="00202A92">
        <w:rPr>
          <w:rFonts w:asciiTheme="minorHAnsi" w:eastAsiaTheme="minorHAnsi" w:hAnsiTheme="minorHAnsi" w:cs="AdvOTb65e897d.B"/>
          <w:szCs w:val="22"/>
        </w:rPr>
        <w:t xml:space="preserve"> found for the vast array of products currently derived from the processing of crude petroleum and other fossil sources. The </w:t>
      </w:r>
      <w:proofErr w:type="spellStart"/>
      <w:r w:rsidR="00202A92">
        <w:rPr>
          <w:rFonts w:asciiTheme="minorHAnsi" w:eastAsiaTheme="minorHAnsi" w:hAnsiTheme="minorHAnsi" w:cs="AdvOTb65e897d.B"/>
          <w:szCs w:val="22"/>
        </w:rPr>
        <w:t>biorefineries</w:t>
      </w:r>
      <w:proofErr w:type="spellEnd"/>
      <w:r w:rsidR="00202A92">
        <w:rPr>
          <w:rFonts w:asciiTheme="minorHAnsi" w:eastAsiaTheme="minorHAnsi" w:hAnsiTheme="minorHAnsi" w:cs="AdvOTb65e897d.B"/>
          <w:szCs w:val="22"/>
        </w:rPr>
        <w:t xml:space="preserve"> in these societies would integrate biomass conversion processes and equipment to produce fuels, power, and chemicals </w:t>
      </w:r>
      <w:r w:rsidR="00B67ACD">
        <w:rPr>
          <w:rFonts w:asciiTheme="minorHAnsi" w:eastAsiaTheme="minorHAnsi" w:hAnsiTheme="minorHAnsi" w:cs="AdvOTb65e897d.B"/>
          <w:szCs w:val="22"/>
        </w:rPr>
        <w:t xml:space="preserve">from biomass. </w:t>
      </w:r>
      <w:r w:rsidR="00202A92">
        <w:rPr>
          <w:rFonts w:asciiTheme="minorHAnsi" w:eastAsiaTheme="minorHAnsi" w:hAnsiTheme="minorHAnsi" w:cs="AdvOTb65e897d.B"/>
          <w:szCs w:val="22"/>
        </w:rPr>
        <w:t xml:space="preserve">Platform chemicals have been introduced as valuable chemicals that could be candidates for production in such a </w:t>
      </w:r>
      <w:proofErr w:type="spellStart"/>
      <w:r w:rsidR="00202A92">
        <w:rPr>
          <w:rFonts w:asciiTheme="minorHAnsi" w:eastAsiaTheme="minorHAnsi" w:hAnsiTheme="minorHAnsi" w:cs="AdvOTb65e897d.B"/>
          <w:szCs w:val="22"/>
        </w:rPr>
        <w:t>biorefinery</w:t>
      </w:r>
      <w:proofErr w:type="spellEnd"/>
      <w:r w:rsidR="00202A92">
        <w:rPr>
          <w:rFonts w:asciiTheme="minorHAnsi" w:eastAsiaTheme="minorHAnsi" w:hAnsiTheme="minorHAnsi" w:cs="AdvOTb65e897d.B"/>
          <w:szCs w:val="22"/>
        </w:rPr>
        <w:t xml:space="preserve"> setting, and they include ethan</w:t>
      </w:r>
      <w:r w:rsidR="00B67ACD">
        <w:rPr>
          <w:rFonts w:asciiTheme="minorHAnsi" w:eastAsiaTheme="minorHAnsi" w:hAnsiTheme="minorHAnsi" w:cs="AdvOTb65e897d.B"/>
          <w:szCs w:val="22"/>
        </w:rPr>
        <w:t xml:space="preserve">ol, lactic acid, and furfural. </w:t>
      </w:r>
      <w:r w:rsidR="00202A92">
        <w:rPr>
          <w:rFonts w:asciiTheme="minorHAnsi" w:eastAsiaTheme="minorHAnsi" w:hAnsiTheme="minorHAnsi" w:cs="AdvOTb65e897d.B"/>
          <w:szCs w:val="22"/>
        </w:rPr>
        <w:t>Around 62% of the furfural produced around the world each year is converted</w:t>
      </w:r>
      <w:r w:rsidR="00DB1A35">
        <w:rPr>
          <w:rFonts w:asciiTheme="minorHAnsi" w:eastAsiaTheme="minorHAnsi" w:hAnsiTheme="minorHAnsi" w:cs="AdvOTb65e897d.B"/>
          <w:szCs w:val="22"/>
        </w:rPr>
        <w:t xml:space="preserve"> via chemical catalysis</w:t>
      </w:r>
      <w:r w:rsidR="00202A92">
        <w:rPr>
          <w:rFonts w:asciiTheme="minorHAnsi" w:eastAsiaTheme="minorHAnsi" w:hAnsiTheme="minorHAnsi" w:cs="AdvOTb65e897d.B"/>
          <w:szCs w:val="22"/>
        </w:rPr>
        <w:t xml:space="preserve"> into </w:t>
      </w:r>
      <w:proofErr w:type="spellStart"/>
      <w:r w:rsidR="00202A92">
        <w:rPr>
          <w:rFonts w:asciiTheme="minorHAnsi" w:eastAsiaTheme="minorHAnsi" w:hAnsiTheme="minorHAnsi" w:cs="AdvOTb65e897d.B"/>
          <w:szCs w:val="22"/>
        </w:rPr>
        <w:t>furfuryl</w:t>
      </w:r>
      <w:proofErr w:type="spellEnd"/>
      <w:r w:rsidR="00202A92">
        <w:rPr>
          <w:rFonts w:asciiTheme="minorHAnsi" w:eastAsiaTheme="minorHAnsi" w:hAnsiTheme="minorHAnsi" w:cs="AdvOTb65e897d.B"/>
          <w:szCs w:val="22"/>
        </w:rPr>
        <w:t xml:space="preserve"> alcohol which can be used in the manufacture of foundry resins, piping and high performance chemical processes, and the improvement of the physical and mechanical properties of wood, including resistance to mic</w:t>
      </w:r>
      <w:r w:rsidR="00B67ACD">
        <w:rPr>
          <w:rFonts w:asciiTheme="minorHAnsi" w:eastAsiaTheme="minorHAnsi" w:hAnsiTheme="minorHAnsi" w:cs="AdvOTb65e897d.B"/>
          <w:szCs w:val="22"/>
        </w:rPr>
        <w:t>robial decay and insect attack.</w:t>
      </w:r>
      <w:r w:rsidR="00202A92">
        <w:rPr>
          <w:rFonts w:asciiTheme="minorHAnsi" w:eastAsiaTheme="minorHAnsi" w:hAnsiTheme="minorHAnsi" w:cs="AdvOTb65e897d.B"/>
          <w:szCs w:val="22"/>
        </w:rPr>
        <w:t xml:space="preserve"> </w:t>
      </w:r>
      <w:r w:rsidR="0076049D">
        <w:rPr>
          <w:rFonts w:asciiTheme="minorHAnsi" w:eastAsiaTheme="minorHAnsi" w:hAnsiTheme="minorHAnsi" w:cs="AdvOTb65e897d.B"/>
          <w:szCs w:val="22"/>
        </w:rPr>
        <w:t>Researchers in the DOE’s Great Lakes Bioe</w:t>
      </w:r>
      <w:r w:rsidR="00332ED8">
        <w:rPr>
          <w:rFonts w:asciiTheme="minorHAnsi" w:eastAsiaTheme="minorHAnsi" w:hAnsiTheme="minorHAnsi" w:cs="AdvOTb65e897d.B"/>
          <w:szCs w:val="22"/>
        </w:rPr>
        <w:t xml:space="preserve">nergy Research Center </w:t>
      </w:r>
      <w:r w:rsidR="00062A96">
        <w:rPr>
          <w:rFonts w:asciiTheme="minorHAnsi" w:eastAsiaTheme="minorHAnsi" w:hAnsiTheme="minorHAnsi" w:cs="AdvOTb65e897d.B"/>
          <w:szCs w:val="22"/>
        </w:rPr>
        <w:t xml:space="preserve">studied the potential of a microbial conversion method as an alternative to the conventional chemical catalysis process for furfural and </w:t>
      </w:r>
      <w:proofErr w:type="spellStart"/>
      <w:r w:rsidR="00062A96">
        <w:rPr>
          <w:rFonts w:asciiTheme="minorHAnsi" w:eastAsiaTheme="minorHAnsi" w:hAnsiTheme="minorHAnsi" w:cs="AdvOTb65e897d.B"/>
          <w:szCs w:val="22"/>
        </w:rPr>
        <w:t>furfuryl</w:t>
      </w:r>
      <w:proofErr w:type="spellEnd"/>
      <w:r w:rsidR="00062A96">
        <w:rPr>
          <w:rFonts w:asciiTheme="minorHAnsi" w:eastAsiaTheme="minorHAnsi" w:hAnsiTheme="minorHAnsi" w:cs="AdvOTb65e897d.B"/>
          <w:szCs w:val="22"/>
        </w:rPr>
        <w:t xml:space="preserve"> alcohol production via growth and fermentation experiments using commercial Bakers’ yeast and 6 furfural-tolerant wild </w:t>
      </w:r>
      <w:r w:rsidR="00062A96" w:rsidRPr="00062A96">
        <w:rPr>
          <w:rFonts w:asciiTheme="minorHAnsi" w:eastAsiaTheme="minorHAnsi" w:hAnsiTheme="minorHAnsi" w:cs="AdvOTb65e897d.B"/>
          <w:i/>
          <w:szCs w:val="22"/>
        </w:rPr>
        <w:t xml:space="preserve">S. </w:t>
      </w:r>
      <w:proofErr w:type="spellStart"/>
      <w:r w:rsidR="00062A96" w:rsidRPr="00062A96">
        <w:rPr>
          <w:rFonts w:asciiTheme="minorHAnsi" w:eastAsiaTheme="minorHAnsi" w:hAnsiTheme="minorHAnsi" w:cs="AdvOTb65e897d.B"/>
          <w:i/>
          <w:szCs w:val="22"/>
        </w:rPr>
        <w:t>cerevisiae</w:t>
      </w:r>
      <w:proofErr w:type="spellEnd"/>
      <w:r w:rsidR="00062A96">
        <w:rPr>
          <w:rFonts w:asciiTheme="minorHAnsi" w:eastAsiaTheme="minorHAnsi" w:hAnsiTheme="minorHAnsi" w:cs="AdvOTb65e897d.B"/>
          <w:szCs w:val="22"/>
        </w:rPr>
        <w:t xml:space="preserve"> strains.</w:t>
      </w:r>
      <w:r w:rsidR="00496CFF">
        <w:rPr>
          <w:rFonts w:asciiTheme="minorHAnsi" w:eastAsiaTheme="minorHAnsi" w:hAnsiTheme="minorHAnsi" w:cs="AdvOTb65e897d.B"/>
          <w:szCs w:val="22"/>
        </w:rPr>
        <w:t xml:space="preserve"> Their results showed that yields from the </w:t>
      </w:r>
      <w:r w:rsidR="00496CFF" w:rsidRPr="00496CFF">
        <w:rPr>
          <w:rFonts w:asciiTheme="minorHAnsi" w:eastAsiaTheme="minorHAnsi" w:hAnsiTheme="minorHAnsi" w:cs="AdvOTb65e897d.B"/>
          <w:i/>
          <w:szCs w:val="22"/>
        </w:rPr>
        <w:t xml:space="preserve">S. </w:t>
      </w:r>
      <w:proofErr w:type="spellStart"/>
      <w:r w:rsidR="00496CFF" w:rsidRPr="00496CFF">
        <w:rPr>
          <w:rFonts w:asciiTheme="minorHAnsi" w:eastAsiaTheme="minorHAnsi" w:hAnsiTheme="minorHAnsi" w:cs="AdvOTb65e897d.B"/>
          <w:i/>
          <w:szCs w:val="22"/>
        </w:rPr>
        <w:t>cerevisiae</w:t>
      </w:r>
      <w:proofErr w:type="spellEnd"/>
      <w:r w:rsidR="00496CFF">
        <w:rPr>
          <w:rFonts w:asciiTheme="minorHAnsi" w:eastAsiaTheme="minorHAnsi" w:hAnsiTheme="minorHAnsi" w:cs="AdvOTb65e897d.B"/>
          <w:szCs w:val="22"/>
        </w:rPr>
        <w:t xml:space="preserve"> strains ranged from ~93-37%, with increasing furfural conc</w:t>
      </w:r>
      <w:r w:rsidR="00B67ACD">
        <w:rPr>
          <w:rFonts w:asciiTheme="minorHAnsi" w:eastAsiaTheme="minorHAnsi" w:hAnsiTheme="minorHAnsi" w:cs="AdvOTb65e897d.B"/>
          <w:szCs w:val="22"/>
        </w:rPr>
        <w:t xml:space="preserve">entrations from 25-65 g/l. </w:t>
      </w:r>
      <w:r w:rsidR="00496CFF">
        <w:rPr>
          <w:rFonts w:asciiTheme="minorHAnsi" w:eastAsiaTheme="minorHAnsi" w:hAnsiTheme="minorHAnsi" w:cs="AdvOTb65e897d.B"/>
          <w:szCs w:val="22"/>
        </w:rPr>
        <w:t xml:space="preserve">The highest yield for </w:t>
      </w:r>
      <w:proofErr w:type="spellStart"/>
      <w:r w:rsidR="00496CFF">
        <w:rPr>
          <w:rFonts w:asciiTheme="minorHAnsi" w:eastAsiaTheme="minorHAnsi" w:hAnsiTheme="minorHAnsi" w:cs="AdvOTb65e897d.B"/>
          <w:szCs w:val="22"/>
        </w:rPr>
        <w:t>furfuryl</w:t>
      </w:r>
      <w:proofErr w:type="spellEnd"/>
      <w:r w:rsidR="00496CFF">
        <w:rPr>
          <w:rFonts w:asciiTheme="minorHAnsi" w:eastAsiaTheme="minorHAnsi" w:hAnsiTheme="minorHAnsi" w:cs="AdvOTb65e897d.B"/>
          <w:szCs w:val="22"/>
        </w:rPr>
        <w:t xml:space="preserve"> alcohol resulted</w:t>
      </w:r>
      <w:r w:rsidR="00B67ACD">
        <w:rPr>
          <w:rFonts w:asciiTheme="minorHAnsi" w:eastAsiaTheme="minorHAnsi" w:hAnsiTheme="minorHAnsi" w:cs="AdvOTb65e897d.B"/>
          <w:szCs w:val="22"/>
        </w:rPr>
        <w:t xml:space="preserve"> from the UWOPS87-2721 strain. </w:t>
      </w:r>
      <w:r w:rsidR="00496CFF">
        <w:rPr>
          <w:rFonts w:asciiTheme="minorHAnsi" w:eastAsiaTheme="minorHAnsi" w:hAnsiTheme="minorHAnsi" w:cs="AdvOTb65e897d.B"/>
          <w:szCs w:val="22"/>
        </w:rPr>
        <w:t xml:space="preserve">They also found out that </w:t>
      </w:r>
      <w:proofErr w:type="spellStart"/>
      <w:r w:rsidR="00496CFF">
        <w:rPr>
          <w:rFonts w:asciiTheme="minorHAnsi" w:eastAsiaTheme="minorHAnsi" w:hAnsiTheme="minorHAnsi" w:cs="AdvOTb65e897d.B"/>
          <w:szCs w:val="22"/>
        </w:rPr>
        <w:t>furoic</w:t>
      </w:r>
      <w:proofErr w:type="spellEnd"/>
      <w:r w:rsidR="00496CFF">
        <w:rPr>
          <w:rFonts w:asciiTheme="minorHAnsi" w:eastAsiaTheme="minorHAnsi" w:hAnsiTheme="minorHAnsi" w:cs="AdvOTb65e897d.B"/>
          <w:szCs w:val="22"/>
        </w:rPr>
        <w:t xml:space="preserve"> acid was a significant byproduct of the conversion process, and while selectivity of the strains towards production of </w:t>
      </w:r>
      <w:proofErr w:type="spellStart"/>
      <w:r w:rsidR="00496CFF">
        <w:rPr>
          <w:rFonts w:asciiTheme="minorHAnsi" w:eastAsiaTheme="minorHAnsi" w:hAnsiTheme="minorHAnsi" w:cs="AdvOTb65e897d.B"/>
          <w:szCs w:val="22"/>
        </w:rPr>
        <w:t>furfuryl</w:t>
      </w:r>
      <w:proofErr w:type="spellEnd"/>
      <w:r w:rsidR="00496CFF">
        <w:rPr>
          <w:rFonts w:asciiTheme="minorHAnsi" w:eastAsiaTheme="minorHAnsi" w:hAnsiTheme="minorHAnsi" w:cs="AdvOTb65e897d.B"/>
          <w:szCs w:val="22"/>
        </w:rPr>
        <w:t xml:space="preserve"> alcohol decreased with increasing furfural concentrations, concentrations of </w:t>
      </w:r>
      <w:proofErr w:type="spellStart"/>
      <w:r w:rsidR="00496CFF">
        <w:rPr>
          <w:rFonts w:asciiTheme="minorHAnsi" w:eastAsiaTheme="minorHAnsi" w:hAnsiTheme="minorHAnsi" w:cs="AdvOTb65e897d.B"/>
          <w:szCs w:val="22"/>
        </w:rPr>
        <w:t>furoic</w:t>
      </w:r>
      <w:proofErr w:type="spellEnd"/>
      <w:r w:rsidR="00496CFF">
        <w:rPr>
          <w:rFonts w:asciiTheme="minorHAnsi" w:eastAsiaTheme="minorHAnsi" w:hAnsiTheme="minorHAnsi" w:cs="AdvOTb65e897d.B"/>
          <w:szCs w:val="22"/>
        </w:rPr>
        <w:t xml:space="preserve"> acid</w:t>
      </w:r>
      <w:r w:rsidR="00B67ACD">
        <w:rPr>
          <w:rFonts w:asciiTheme="minorHAnsi" w:eastAsiaTheme="minorHAnsi" w:hAnsiTheme="minorHAnsi" w:cs="AdvOTb65e897d.B"/>
          <w:szCs w:val="22"/>
        </w:rPr>
        <w:t xml:space="preserve"> remained relatively constant. </w:t>
      </w:r>
      <w:bookmarkStart w:id="0" w:name="_GoBack"/>
      <w:bookmarkEnd w:id="0"/>
      <w:r w:rsidR="00496CFF">
        <w:rPr>
          <w:rFonts w:asciiTheme="minorHAnsi" w:eastAsiaTheme="minorHAnsi" w:hAnsiTheme="minorHAnsi" w:cs="AdvOTb65e897d.B"/>
          <w:szCs w:val="22"/>
        </w:rPr>
        <w:t xml:space="preserve">Furthermore, researchers evaluated an integrated </w:t>
      </w:r>
      <w:proofErr w:type="spellStart"/>
      <w:r w:rsidR="00496CFF">
        <w:rPr>
          <w:rFonts w:asciiTheme="minorHAnsi" w:eastAsiaTheme="minorHAnsi" w:hAnsiTheme="minorHAnsi" w:cs="AdvOTb65e897d.B"/>
          <w:szCs w:val="22"/>
        </w:rPr>
        <w:t>biorefinery</w:t>
      </w:r>
      <w:proofErr w:type="spellEnd"/>
      <w:r w:rsidR="00496CFF">
        <w:rPr>
          <w:rFonts w:asciiTheme="minorHAnsi" w:eastAsiaTheme="minorHAnsi" w:hAnsiTheme="minorHAnsi" w:cs="AdvOTb65e897d.B"/>
          <w:szCs w:val="22"/>
        </w:rPr>
        <w:t xml:space="preserve"> </w:t>
      </w:r>
      <w:proofErr w:type="gramStart"/>
      <w:r w:rsidR="00496CFF">
        <w:rPr>
          <w:rFonts w:asciiTheme="minorHAnsi" w:eastAsiaTheme="minorHAnsi" w:hAnsiTheme="minorHAnsi" w:cs="AdvOTb65e897d.B"/>
          <w:szCs w:val="22"/>
        </w:rPr>
        <w:t>model which</w:t>
      </w:r>
      <w:proofErr w:type="gramEnd"/>
      <w:r w:rsidR="00496CFF">
        <w:rPr>
          <w:rFonts w:asciiTheme="minorHAnsi" w:eastAsiaTheme="minorHAnsi" w:hAnsiTheme="minorHAnsi" w:cs="AdvOTb65e897d.B"/>
          <w:szCs w:val="22"/>
        </w:rPr>
        <w:t xml:space="preserve"> showed that production of the furan compounds via microbial conversion could add value to an existing cellulosic ethanol plant by being able to produce </w:t>
      </w:r>
      <w:proofErr w:type="spellStart"/>
      <w:r w:rsidR="00496CFF">
        <w:rPr>
          <w:rFonts w:asciiTheme="minorHAnsi" w:eastAsiaTheme="minorHAnsi" w:hAnsiTheme="minorHAnsi" w:cs="AdvOTb65e897d.B"/>
          <w:szCs w:val="22"/>
        </w:rPr>
        <w:t>furfuryl</w:t>
      </w:r>
      <w:proofErr w:type="spellEnd"/>
      <w:r w:rsidR="00496CFF">
        <w:rPr>
          <w:rFonts w:asciiTheme="minorHAnsi" w:eastAsiaTheme="minorHAnsi" w:hAnsiTheme="minorHAnsi" w:cs="AdvOTb65e897d.B"/>
          <w:szCs w:val="22"/>
        </w:rPr>
        <w:t xml:space="preserve"> alcohol in a separate stream.</w:t>
      </w:r>
    </w:p>
    <w:p w14:paraId="78417F0B" w14:textId="77777777" w:rsidR="00496CFF" w:rsidRDefault="00496CFF" w:rsidP="00767F72">
      <w:pPr>
        <w:rPr>
          <w:rFonts w:asciiTheme="minorHAnsi" w:eastAsiaTheme="minorHAnsi" w:hAnsiTheme="minorHAnsi" w:cs="AdvOTb65e897d.B"/>
          <w:szCs w:val="22"/>
        </w:rPr>
      </w:pPr>
    </w:p>
    <w:p w14:paraId="248D5833" w14:textId="18519A76" w:rsidR="008119FF" w:rsidRPr="0089781E" w:rsidRDefault="008119FF" w:rsidP="0089781E">
      <w:pPr>
        <w:rPr>
          <w:rFonts w:asciiTheme="minorHAnsi" w:hAnsiTheme="minorHAnsi"/>
          <w:szCs w:val="22"/>
        </w:rPr>
      </w:pPr>
      <w:r w:rsidRPr="0089781E">
        <w:rPr>
          <w:rFonts w:asciiTheme="minorHAnsi" w:hAnsiTheme="minorHAnsi"/>
          <w:b/>
          <w:szCs w:val="22"/>
        </w:rPr>
        <w:t>References:</w:t>
      </w:r>
      <w:r w:rsidR="0089781E" w:rsidRPr="0089781E">
        <w:rPr>
          <w:rFonts w:asciiTheme="minorHAnsi" w:hAnsiTheme="minorHAnsi"/>
          <w:szCs w:val="22"/>
        </w:rPr>
        <w:t xml:space="preserve"> </w:t>
      </w:r>
      <w:proofErr w:type="spellStart"/>
      <w:r w:rsidR="00EA7BF3" w:rsidRPr="00EA7BF3">
        <w:rPr>
          <w:rFonts w:asciiTheme="minorHAnsi" w:hAnsiTheme="minorHAnsi"/>
          <w:szCs w:val="22"/>
        </w:rPr>
        <w:t>Mandalika</w:t>
      </w:r>
      <w:proofErr w:type="spellEnd"/>
      <w:r w:rsidR="00EA7BF3" w:rsidRPr="00EA7BF3">
        <w:rPr>
          <w:rFonts w:asciiTheme="minorHAnsi" w:hAnsiTheme="minorHAnsi"/>
          <w:szCs w:val="22"/>
        </w:rPr>
        <w:t xml:space="preserve"> A, Qin L, Sato TK, </w:t>
      </w:r>
      <w:proofErr w:type="spellStart"/>
      <w:r w:rsidR="00EA7BF3" w:rsidRPr="00EA7BF3">
        <w:rPr>
          <w:rFonts w:asciiTheme="minorHAnsi" w:hAnsiTheme="minorHAnsi"/>
          <w:szCs w:val="22"/>
        </w:rPr>
        <w:t>Runge</w:t>
      </w:r>
      <w:proofErr w:type="spellEnd"/>
      <w:r w:rsidR="00EA7BF3" w:rsidRPr="00EA7BF3">
        <w:rPr>
          <w:rFonts w:asciiTheme="minorHAnsi" w:hAnsiTheme="minorHAnsi"/>
          <w:szCs w:val="22"/>
        </w:rPr>
        <w:t xml:space="preserve"> T. “Integrated </w:t>
      </w:r>
      <w:proofErr w:type="spellStart"/>
      <w:r w:rsidR="00EA7BF3" w:rsidRPr="00EA7BF3">
        <w:rPr>
          <w:rFonts w:asciiTheme="minorHAnsi" w:hAnsiTheme="minorHAnsi"/>
          <w:szCs w:val="22"/>
        </w:rPr>
        <w:t>biorefinery</w:t>
      </w:r>
      <w:proofErr w:type="spellEnd"/>
      <w:r w:rsidR="00EA7BF3" w:rsidRPr="00EA7BF3">
        <w:rPr>
          <w:rFonts w:asciiTheme="minorHAnsi" w:hAnsiTheme="minorHAnsi"/>
          <w:szCs w:val="22"/>
        </w:rPr>
        <w:t xml:space="preserve"> model based on production of furans using open-ended high yield processes”. </w:t>
      </w:r>
      <w:proofErr w:type="gramStart"/>
      <w:r w:rsidR="00EA7BF3" w:rsidRPr="00EA7BF3">
        <w:rPr>
          <w:rFonts w:asciiTheme="minorHAnsi" w:hAnsiTheme="minorHAnsi"/>
          <w:szCs w:val="22"/>
        </w:rPr>
        <w:t>Green Chemistry (2014) 16, 2480-2489.</w:t>
      </w:r>
      <w:proofErr w:type="gramEnd"/>
    </w:p>
    <w:p w14:paraId="5D7D73E4" w14:textId="77777777" w:rsidR="008119FF" w:rsidRPr="0089781E" w:rsidRDefault="008119FF" w:rsidP="008119FF">
      <w:pPr>
        <w:tabs>
          <w:tab w:val="left" w:pos="360"/>
        </w:tabs>
        <w:spacing w:after="0" w:line="300" w:lineRule="exact"/>
        <w:rPr>
          <w:rFonts w:asciiTheme="minorHAnsi" w:hAnsiTheme="minorHAnsi"/>
          <w:szCs w:val="22"/>
        </w:rPr>
      </w:pPr>
      <w:r w:rsidRPr="0089781E">
        <w:rPr>
          <w:rFonts w:asciiTheme="minorHAnsi" w:hAnsiTheme="minorHAnsi"/>
          <w:b/>
          <w:szCs w:val="22"/>
        </w:rPr>
        <w:t>Contact</w:t>
      </w:r>
      <w:r w:rsidRPr="0089781E">
        <w:rPr>
          <w:rFonts w:asciiTheme="minorHAnsi" w:hAnsiTheme="minorHAnsi"/>
          <w:szCs w:val="22"/>
        </w:rPr>
        <w:t>: Dr. N. Kent Peters, SC-23.2, (301) 903-5549</w:t>
      </w:r>
    </w:p>
    <w:sectPr w:rsidR="008119FF" w:rsidRPr="00897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dvOTb65e897d.B">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862EC"/>
    <w:multiLevelType w:val="hybridMultilevel"/>
    <w:tmpl w:val="A2344D74"/>
    <w:lvl w:ilvl="0" w:tplc="EFF410A4">
      <w:start w:val="1"/>
      <w:numFmt w:val="bullet"/>
      <w:lvlText w:val=""/>
      <w:lvlJc w:val="left"/>
      <w:pPr>
        <w:tabs>
          <w:tab w:val="num" w:pos="720"/>
        </w:tabs>
        <w:ind w:left="720" w:hanging="360"/>
      </w:pPr>
      <w:rPr>
        <w:rFonts w:ascii="Wingdings" w:hAnsi="Wingdings" w:hint="default"/>
      </w:rPr>
    </w:lvl>
    <w:lvl w:ilvl="1" w:tplc="BBF665BA" w:tentative="1">
      <w:start w:val="1"/>
      <w:numFmt w:val="bullet"/>
      <w:lvlText w:val=""/>
      <w:lvlJc w:val="left"/>
      <w:pPr>
        <w:tabs>
          <w:tab w:val="num" w:pos="1440"/>
        </w:tabs>
        <w:ind w:left="1440" w:hanging="360"/>
      </w:pPr>
      <w:rPr>
        <w:rFonts w:ascii="Wingdings" w:hAnsi="Wingdings" w:hint="default"/>
      </w:rPr>
    </w:lvl>
    <w:lvl w:ilvl="2" w:tplc="23B09028" w:tentative="1">
      <w:start w:val="1"/>
      <w:numFmt w:val="bullet"/>
      <w:lvlText w:val=""/>
      <w:lvlJc w:val="left"/>
      <w:pPr>
        <w:tabs>
          <w:tab w:val="num" w:pos="2160"/>
        </w:tabs>
        <w:ind w:left="2160" w:hanging="360"/>
      </w:pPr>
      <w:rPr>
        <w:rFonts w:ascii="Wingdings" w:hAnsi="Wingdings" w:hint="default"/>
      </w:rPr>
    </w:lvl>
    <w:lvl w:ilvl="3" w:tplc="B6B4B3F4" w:tentative="1">
      <w:start w:val="1"/>
      <w:numFmt w:val="bullet"/>
      <w:lvlText w:val=""/>
      <w:lvlJc w:val="left"/>
      <w:pPr>
        <w:tabs>
          <w:tab w:val="num" w:pos="2880"/>
        </w:tabs>
        <w:ind w:left="2880" w:hanging="360"/>
      </w:pPr>
      <w:rPr>
        <w:rFonts w:ascii="Wingdings" w:hAnsi="Wingdings" w:hint="default"/>
      </w:rPr>
    </w:lvl>
    <w:lvl w:ilvl="4" w:tplc="39721E2A" w:tentative="1">
      <w:start w:val="1"/>
      <w:numFmt w:val="bullet"/>
      <w:lvlText w:val=""/>
      <w:lvlJc w:val="left"/>
      <w:pPr>
        <w:tabs>
          <w:tab w:val="num" w:pos="3600"/>
        </w:tabs>
        <w:ind w:left="3600" w:hanging="360"/>
      </w:pPr>
      <w:rPr>
        <w:rFonts w:ascii="Wingdings" w:hAnsi="Wingdings" w:hint="default"/>
      </w:rPr>
    </w:lvl>
    <w:lvl w:ilvl="5" w:tplc="70E8DA02" w:tentative="1">
      <w:start w:val="1"/>
      <w:numFmt w:val="bullet"/>
      <w:lvlText w:val=""/>
      <w:lvlJc w:val="left"/>
      <w:pPr>
        <w:tabs>
          <w:tab w:val="num" w:pos="4320"/>
        </w:tabs>
        <w:ind w:left="4320" w:hanging="360"/>
      </w:pPr>
      <w:rPr>
        <w:rFonts w:ascii="Wingdings" w:hAnsi="Wingdings" w:hint="default"/>
      </w:rPr>
    </w:lvl>
    <w:lvl w:ilvl="6" w:tplc="F7F64628" w:tentative="1">
      <w:start w:val="1"/>
      <w:numFmt w:val="bullet"/>
      <w:lvlText w:val=""/>
      <w:lvlJc w:val="left"/>
      <w:pPr>
        <w:tabs>
          <w:tab w:val="num" w:pos="5040"/>
        </w:tabs>
        <w:ind w:left="5040" w:hanging="360"/>
      </w:pPr>
      <w:rPr>
        <w:rFonts w:ascii="Wingdings" w:hAnsi="Wingdings" w:hint="default"/>
      </w:rPr>
    </w:lvl>
    <w:lvl w:ilvl="7" w:tplc="D7CADCFC" w:tentative="1">
      <w:start w:val="1"/>
      <w:numFmt w:val="bullet"/>
      <w:lvlText w:val=""/>
      <w:lvlJc w:val="left"/>
      <w:pPr>
        <w:tabs>
          <w:tab w:val="num" w:pos="5760"/>
        </w:tabs>
        <w:ind w:left="5760" w:hanging="360"/>
      </w:pPr>
      <w:rPr>
        <w:rFonts w:ascii="Wingdings" w:hAnsi="Wingdings" w:hint="default"/>
      </w:rPr>
    </w:lvl>
    <w:lvl w:ilvl="8" w:tplc="60C0426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F"/>
    <w:rsid w:val="00062A96"/>
    <w:rsid w:val="000C5951"/>
    <w:rsid w:val="001F0E2A"/>
    <w:rsid w:val="00202A92"/>
    <w:rsid w:val="00281796"/>
    <w:rsid w:val="00332ED8"/>
    <w:rsid w:val="003F53BF"/>
    <w:rsid w:val="00496CFF"/>
    <w:rsid w:val="00527825"/>
    <w:rsid w:val="00722D3D"/>
    <w:rsid w:val="0072537D"/>
    <w:rsid w:val="007271BB"/>
    <w:rsid w:val="0076049D"/>
    <w:rsid w:val="00767F72"/>
    <w:rsid w:val="007D4194"/>
    <w:rsid w:val="008119FF"/>
    <w:rsid w:val="0089781E"/>
    <w:rsid w:val="0094060E"/>
    <w:rsid w:val="00971C08"/>
    <w:rsid w:val="0098299F"/>
    <w:rsid w:val="00B6334B"/>
    <w:rsid w:val="00B67ACD"/>
    <w:rsid w:val="00BC7A84"/>
    <w:rsid w:val="00CC5EF2"/>
    <w:rsid w:val="00D6104B"/>
    <w:rsid w:val="00DB1A35"/>
    <w:rsid w:val="00E33580"/>
    <w:rsid w:val="00EA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C8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825"/>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825"/>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01913">
      <w:bodyDiv w:val="1"/>
      <w:marLeft w:val="0"/>
      <w:marRight w:val="0"/>
      <w:marTop w:val="0"/>
      <w:marBottom w:val="0"/>
      <w:divBdr>
        <w:top w:val="none" w:sz="0" w:space="0" w:color="auto"/>
        <w:left w:val="none" w:sz="0" w:space="0" w:color="auto"/>
        <w:bottom w:val="none" w:sz="0" w:space="0" w:color="auto"/>
        <w:right w:val="none" w:sz="0" w:space="0" w:color="auto"/>
      </w:divBdr>
      <w:divsChild>
        <w:div w:id="76097274">
          <w:marLeft w:val="446"/>
          <w:marRight w:val="0"/>
          <w:marTop w:val="0"/>
          <w:marBottom w:val="0"/>
          <w:divBdr>
            <w:top w:val="none" w:sz="0" w:space="0" w:color="auto"/>
            <w:left w:val="none" w:sz="0" w:space="0" w:color="auto"/>
            <w:bottom w:val="none" w:sz="0" w:space="0" w:color="auto"/>
            <w:right w:val="none" w:sz="0" w:space="0" w:color="auto"/>
          </w:divBdr>
        </w:div>
        <w:div w:id="941762746">
          <w:marLeft w:val="446"/>
          <w:marRight w:val="0"/>
          <w:marTop w:val="0"/>
          <w:marBottom w:val="0"/>
          <w:divBdr>
            <w:top w:val="none" w:sz="0" w:space="0" w:color="auto"/>
            <w:left w:val="none" w:sz="0" w:space="0" w:color="auto"/>
            <w:bottom w:val="none" w:sz="0" w:space="0" w:color="auto"/>
            <w:right w:val="none" w:sz="0" w:space="0" w:color="auto"/>
          </w:divBdr>
        </w:div>
      </w:divsChild>
    </w:div>
    <w:div w:id="327632300">
      <w:bodyDiv w:val="1"/>
      <w:marLeft w:val="0"/>
      <w:marRight w:val="0"/>
      <w:marTop w:val="0"/>
      <w:marBottom w:val="0"/>
      <w:divBdr>
        <w:top w:val="none" w:sz="0" w:space="0" w:color="auto"/>
        <w:left w:val="none" w:sz="0" w:space="0" w:color="auto"/>
        <w:bottom w:val="none" w:sz="0" w:space="0" w:color="auto"/>
        <w:right w:val="none" w:sz="0" w:space="0" w:color="auto"/>
      </w:divBdr>
      <w:divsChild>
        <w:div w:id="2082288080">
          <w:marLeft w:val="446"/>
          <w:marRight w:val="0"/>
          <w:marTop w:val="0"/>
          <w:marBottom w:val="0"/>
          <w:divBdr>
            <w:top w:val="none" w:sz="0" w:space="0" w:color="auto"/>
            <w:left w:val="none" w:sz="0" w:space="0" w:color="auto"/>
            <w:bottom w:val="none" w:sz="0" w:space="0" w:color="auto"/>
            <w:right w:val="none" w:sz="0" w:space="0" w:color="auto"/>
          </w:divBdr>
        </w:div>
        <w:div w:id="1580948140">
          <w:marLeft w:val="446"/>
          <w:marRight w:val="0"/>
          <w:marTop w:val="0"/>
          <w:marBottom w:val="0"/>
          <w:divBdr>
            <w:top w:val="none" w:sz="0" w:space="0" w:color="auto"/>
            <w:left w:val="none" w:sz="0" w:space="0" w:color="auto"/>
            <w:bottom w:val="none" w:sz="0" w:space="0" w:color="auto"/>
            <w:right w:val="none" w:sz="0" w:space="0" w:color="auto"/>
          </w:divBdr>
        </w:div>
      </w:divsChild>
    </w:div>
    <w:div w:id="519438742">
      <w:bodyDiv w:val="1"/>
      <w:marLeft w:val="0"/>
      <w:marRight w:val="0"/>
      <w:marTop w:val="0"/>
      <w:marBottom w:val="0"/>
      <w:divBdr>
        <w:top w:val="none" w:sz="0" w:space="0" w:color="auto"/>
        <w:left w:val="none" w:sz="0" w:space="0" w:color="auto"/>
        <w:bottom w:val="none" w:sz="0" w:space="0" w:color="auto"/>
        <w:right w:val="none" w:sz="0" w:space="0" w:color="auto"/>
      </w:divBdr>
    </w:div>
    <w:div w:id="1707372500">
      <w:bodyDiv w:val="1"/>
      <w:marLeft w:val="0"/>
      <w:marRight w:val="0"/>
      <w:marTop w:val="0"/>
      <w:marBottom w:val="0"/>
      <w:divBdr>
        <w:top w:val="none" w:sz="0" w:space="0" w:color="auto"/>
        <w:left w:val="none" w:sz="0" w:space="0" w:color="auto"/>
        <w:bottom w:val="none" w:sz="0" w:space="0" w:color="auto"/>
        <w:right w:val="none" w:sz="0" w:space="0" w:color="auto"/>
      </w:divBdr>
    </w:div>
    <w:div w:id="19668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Final</Comments_x002c__x0020_Notes_x002c__x0020_etc>
    <PublishingExpirationDate xmlns="http://schemas.microsoft.com/sharepoint/v3" xsi:nil="true"/>
    <PublishingStartDate xmlns="http://schemas.microsoft.com/sharepoint/v3" xsi:nil="true"/>
    <_dlc_DocId xmlns="f66da2ca-f37c-4205-929f-e8e9af1907d3">HUBDOC-169-480</_dlc_DocId>
    <_dlc_DocIdUrl xmlns="f66da2ca-f37c-4205-929f-e8e9af1907d3">
      <Url>https://intranet.wei.wisc.edu/glbrc/doe/_layouts/15/DocIdRedir.aspx?ID=HUBDOC-169-480</Url>
      <Description>HUBDOC-169-480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7CEDB-E27E-4DA1-92F6-228975CE659D}">
  <ds:schemaRefs>
    <ds:schemaRef ds:uri="http://schemas.microsoft.com/sharepoint/events"/>
  </ds:schemaRefs>
</ds:datastoreItem>
</file>

<file path=customXml/itemProps2.xml><?xml version="1.0" encoding="utf-8"?>
<ds:datastoreItem xmlns:ds="http://schemas.openxmlformats.org/officeDocument/2006/customXml" ds:itemID="{24F5B7A5-F258-47B0-B18E-B2EA3825E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88F9B-956F-430F-8D7E-6CB0C9401BCF}">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9ACD15A5-E508-4E60-95C0-13283056D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352</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Kent Peters</dc:creator>
  <cp:keywords/>
  <cp:lastModifiedBy>Matt Wisniewski</cp:lastModifiedBy>
  <cp:revision>24</cp:revision>
  <dcterms:created xsi:type="dcterms:W3CDTF">2015-03-02T19:25:00Z</dcterms:created>
  <dcterms:modified xsi:type="dcterms:W3CDTF">2015-04-30T14:13:00Z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75c023f6-9363-492e-a01a-8b4c44336d1f</vt:lpwstr>
  </property>
  <property fmtid="{D5CDD505-2E9C-101B-9397-08002B2CF9AE}" pid="4" name="TaxKeyword">
    <vt:lpwstr/>
  </property>
</Properties>
</file>