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D94C" w14:textId="53C93C0A" w:rsidR="004B0507" w:rsidRPr="003D0B09" w:rsidRDefault="003868BE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3D0B09">
        <w:rPr>
          <w:rFonts w:ascii="Calibri" w:hAnsi="Calibri" w:cs="Calibri"/>
          <w:b/>
          <w:sz w:val="22"/>
          <w:szCs w:val="22"/>
        </w:rPr>
        <w:t xml:space="preserve">CGR2 and CGR3 </w:t>
      </w:r>
      <w:r w:rsidR="000002D7">
        <w:rPr>
          <w:rFonts w:ascii="Calibri" w:hAnsi="Calibri" w:cs="Calibri"/>
          <w:b/>
          <w:sz w:val="22"/>
          <w:szCs w:val="22"/>
        </w:rPr>
        <w:t xml:space="preserve">are </w:t>
      </w:r>
      <w:r w:rsidR="00A07172">
        <w:rPr>
          <w:rFonts w:ascii="Calibri" w:hAnsi="Calibri" w:cs="Calibri"/>
          <w:b/>
          <w:sz w:val="22"/>
          <w:szCs w:val="22"/>
        </w:rPr>
        <w:t xml:space="preserve">likely methyltransferases </w:t>
      </w:r>
      <w:r w:rsidR="000002D7">
        <w:rPr>
          <w:rFonts w:ascii="Calibri" w:hAnsi="Calibri" w:cs="Calibri"/>
          <w:b/>
          <w:sz w:val="22"/>
          <w:szCs w:val="22"/>
        </w:rPr>
        <w:t>critical for</w:t>
      </w:r>
      <w:r w:rsidRPr="003D0B09">
        <w:rPr>
          <w:rFonts w:ascii="Calibri" w:hAnsi="Calibri" w:cs="Calibri"/>
          <w:b/>
          <w:sz w:val="22"/>
          <w:szCs w:val="22"/>
        </w:rPr>
        <w:t xml:space="preserve"> pectin methylesterification and plant </w:t>
      </w:r>
      <w:r w:rsidR="000002D7">
        <w:rPr>
          <w:rFonts w:ascii="Calibri" w:hAnsi="Calibri" w:cs="Calibri"/>
          <w:b/>
          <w:sz w:val="22"/>
          <w:szCs w:val="22"/>
        </w:rPr>
        <w:t>growth</w:t>
      </w:r>
    </w:p>
    <w:p w14:paraId="1F0EF694" w14:textId="77777777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164790" w14:textId="6771AB7C" w:rsidR="003D0B09" w:rsidRDefault="003D0B09" w:rsidP="003D0B0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By providing mechanical strength and enabling reception and transmission of developmental and environmental cues, the plant cell wall serves as a critical interface between the protoplast and the surrounding environment. The diverse roles of the cell wall are maintained by a complex yet dynamic combination of lignin and polysaccharides, which comprise cellulose, hemicellulose, pectin and lignin. </w:t>
      </w:r>
      <w:r w:rsidRPr="003D0B09">
        <w:rPr>
          <w:rFonts w:ascii="Calibri" w:hAnsi="Calibri" w:cs="Times New Roman"/>
          <w:sz w:val="22"/>
          <w:szCs w:val="22"/>
        </w:rPr>
        <w:t>Pectins are critical polysaccharides of the cell wall that are involved in key aspec</w:t>
      </w:r>
      <w:r>
        <w:rPr>
          <w:rFonts w:ascii="Calibri" w:hAnsi="Calibri" w:cs="Times New Roman"/>
          <w:sz w:val="22"/>
          <w:szCs w:val="22"/>
        </w:rPr>
        <w:t xml:space="preserve">ts of a plant’s life, including </w:t>
      </w:r>
      <w:r w:rsidRPr="003D0B09">
        <w:rPr>
          <w:rFonts w:ascii="Calibri" w:hAnsi="Calibri" w:cs="Times New Roman"/>
          <w:sz w:val="22"/>
          <w:szCs w:val="22"/>
        </w:rPr>
        <w:t>cell-wall stiffness, cell-to-cell adhesion, and mechanical strength. Pectins undergo methylesterification,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 xml:space="preserve">which affects their cellular roles. Pectin methyltransferases are believed to </w:t>
      </w:r>
      <w:proofErr w:type="spellStart"/>
      <w:r w:rsidRPr="003D0B09">
        <w:rPr>
          <w:rFonts w:ascii="Calibri" w:hAnsi="Calibri" w:cs="Times New Roman"/>
          <w:sz w:val="22"/>
          <w:szCs w:val="22"/>
        </w:rPr>
        <w:t>methylesterify</w:t>
      </w:r>
      <w:proofErr w:type="spellEnd"/>
      <w:r w:rsidRPr="003D0B09">
        <w:rPr>
          <w:rFonts w:ascii="Calibri" w:hAnsi="Calibri" w:cs="Times New Roman"/>
          <w:sz w:val="22"/>
          <w:szCs w:val="22"/>
        </w:rPr>
        <w:t xml:space="preserve"> pectins in the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 xml:space="preserve">Golgi, but little is known about their identity. To date, there is only circumstantial evidence to support </w:t>
      </w:r>
      <w:r>
        <w:rPr>
          <w:rFonts w:ascii="Calibri" w:hAnsi="Calibri" w:cs="Times New Roman"/>
          <w:sz w:val="22"/>
          <w:szCs w:val="22"/>
        </w:rPr>
        <w:t xml:space="preserve">a </w:t>
      </w:r>
      <w:r w:rsidRPr="003D0B09">
        <w:rPr>
          <w:rFonts w:ascii="Calibri" w:hAnsi="Calibri" w:cs="Times New Roman"/>
          <w:sz w:val="22"/>
          <w:szCs w:val="22"/>
        </w:rPr>
        <w:t>role for QUASIMODO2 (QUA2)-like proteins and an unrelated plant-specific protein, cotton Golgi-related 3</w:t>
      </w:r>
      <w:r>
        <w:rPr>
          <w:rFonts w:ascii="Calibri" w:hAnsi="Calibri" w:cs="Times New Roman"/>
          <w:sz w:val="22"/>
          <w:szCs w:val="22"/>
        </w:rPr>
        <w:t xml:space="preserve">(CGR3), </w:t>
      </w:r>
      <w:r w:rsidRPr="003D0B09">
        <w:rPr>
          <w:rFonts w:ascii="Calibri" w:hAnsi="Calibri" w:cs="Times New Roman"/>
          <w:sz w:val="22"/>
          <w:szCs w:val="22"/>
        </w:rPr>
        <w:t>in pectin methylesterification. To add to the knowledge of pectin biosynthesis, here we characterized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a close homolog of CGR3, named CGR2, and evaluated the effect of loss-of-function mutants and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 xml:space="preserve">over-expression lines of CGR2 and CGR3 </w:t>
      </w:r>
      <w:r w:rsidRPr="00D64504">
        <w:rPr>
          <w:rFonts w:ascii="Calibri" w:hAnsi="Calibri" w:cs="Times New Roman"/>
          <w:i/>
          <w:sz w:val="22"/>
          <w:szCs w:val="22"/>
        </w:rPr>
        <w:t>in planta</w:t>
      </w:r>
      <w:r w:rsidRPr="003D0B09">
        <w:rPr>
          <w:rFonts w:ascii="Calibri" w:hAnsi="Calibri" w:cs="Times New Roman"/>
          <w:sz w:val="22"/>
          <w:szCs w:val="22"/>
        </w:rPr>
        <w:t>. Our results show that, similar to CGR3, CGR2 is a Golgi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protein whose enzyme active site is located in the Golgi lumen where pectin methylesterification occurs.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Through phenotypical analyses, we also established that simultaneous loss of CGR2 and CGR3 causes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severe defects in plant growth and development, supporting critical but overlapping functional roles of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 xml:space="preserve">these proteins. Qualitative </w:t>
      </w:r>
      <w:bookmarkStart w:id="0" w:name="_GoBack"/>
      <w:bookmarkEnd w:id="0"/>
      <w:r w:rsidRPr="003D0B09">
        <w:rPr>
          <w:rFonts w:ascii="Calibri" w:hAnsi="Calibri" w:cs="Times New Roman"/>
          <w:sz w:val="22"/>
          <w:szCs w:val="22"/>
        </w:rPr>
        <w:t>and quantitative cell-wall analytical assays of the double knockout mutant demonstrated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reduced levels of pectin methylesterification, coupled with decreased microsomal pectin methyltransferase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activity. Conversely, CGR2 and CGR3 over-expression lines have markedly opposite phenotypes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to the double knockout m</w:t>
      </w:r>
      <w:r>
        <w:rPr>
          <w:rFonts w:ascii="Calibri" w:hAnsi="Calibri" w:cs="Times New Roman"/>
          <w:sz w:val="22"/>
          <w:szCs w:val="22"/>
        </w:rPr>
        <w:t xml:space="preserve">utant, with increased cell-wall </w:t>
      </w:r>
      <w:r w:rsidRPr="003D0B09">
        <w:rPr>
          <w:rFonts w:ascii="Calibri" w:hAnsi="Calibri" w:cs="Times New Roman"/>
          <w:sz w:val="22"/>
          <w:szCs w:val="22"/>
        </w:rPr>
        <w:t>methylesterification levels and microsomal pectin</w:t>
      </w:r>
      <w:r w:rsidR="00F93504">
        <w:rPr>
          <w:rFonts w:ascii="Calibri" w:eastAsia="Malgun Gothic" w:hAnsi="Calibri" w:cs="Times New Roman" w:hint="eastAsia"/>
          <w:sz w:val="22"/>
          <w:szCs w:val="22"/>
          <w:lang w:eastAsia="ko-KR"/>
        </w:rPr>
        <w:t xml:space="preserve"> </w:t>
      </w:r>
      <w:r w:rsidRPr="003D0B09">
        <w:rPr>
          <w:rFonts w:ascii="Calibri" w:hAnsi="Calibri" w:cs="Times New Roman"/>
          <w:sz w:val="22"/>
          <w:szCs w:val="22"/>
        </w:rPr>
        <w:t>methyltransferase activity. Based on these findings, we propose that CGR2 an</w:t>
      </w:r>
      <w:r>
        <w:rPr>
          <w:rFonts w:ascii="Calibri" w:hAnsi="Calibri" w:cs="Times New Roman"/>
          <w:sz w:val="22"/>
          <w:szCs w:val="22"/>
        </w:rPr>
        <w:t xml:space="preserve">d CGR3 are critical proteins in </w:t>
      </w:r>
      <w:r w:rsidRPr="003D0B09">
        <w:rPr>
          <w:rFonts w:ascii="Calibri" w:hAnsi="Calibri" w:cs="Times New Roman"/>
          <w:sz w:val="22"/>
          <w:szCs w:val="22"/>
        </w:rPr>
        <w:t>plant growth and development that act redundantly in pectin methylesterification in the Golgi apparatus.</w:t>
      </w:r>
      <w:r w:rsidR="00D64504">
        <w:rPr>
          <w:rFonts w:ascii="Calibri" w:hAnsi="Calibri" w:cs="Times New Roman"/>
          <w:sz w:val="22"/>
          <w:szCs w:val="22"/>
        </w:rPr>
        <w:t xml:space="preserve"> This knowledge may inform the design of new bioenergy crops with altered cell wall properties that</w:t>
      </w:r>
      <w:r w:rsidR="000002D7">
        <w:rPr>
          <w:rFonts w:ascii="Calibri" w:hAnsi="Calibri" w:cs="Times New Roman"/>
          <w:sz w:val="22"/>
          <w:szCs w:val="22"/>
        </w:rPr>
        <w:t xml:space="preserve"> may have improved bioenergy production.  </w:t>
      </w:r>
    </w:p>
    <w:p w14:paraId="1DC410D8" w14:textId="77777777" w:rsidR="003D0B09" w:rsidRPr="003D0B09" w:rsidRDefault="003D0B09" w:rsidP="003D0B09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05C6E46C" w14:textId="77777777" w:rsidR="004B0507" w:rsidRPr="003D0B09" w:rsidRDefault="004B0507" w:rsidP="004B050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References: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595262" w:rsidRPr="003D0B09">
        <w:rPr>
          <w:rFonts w:ascii="Calibri" w:hAnsi="Calibri" w:cs="Calibri"/>
          <w:sz w:val="22"/>
          <w:szCs w:val="22"/>
        </w:rPr>
        <w:t xml:space="preserve">Kim, S.-J., Held, M. A., Zemelis, S., Wilkerson, C, </w:t>
      </w:r>
      <w:proofErr w:type="spellStart"/>
      <w:r w:rsidR="00595262" w:rsidRPr="003D0B09">
        <w:rPr>
          <w:rFonts w:ascii="Calibri" w:hAnsi="Calibri" w:cs="Calibri"/>
          <w:sz w:val="22"/>
          <w:szCs w:val="22"/>
        </w:rPr>
        <w:t>Brandizzi</w:t>
      </w:r>
      <w:proofErr w:type="spellEnd"/>
      <w:r w:rsidR="00595262" w:rsidRPr="003D0B09">
        <w:rPr>
          <w:rFonts w:ascii="Calibri" w:hAnsi="Calibri" w:cs="Calibri"/>
          <w:sz w:val="22"/>
          <w:szCs w:val="22"/>
        </w:rPr>
        <w:t>, F. (2015)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595262" w:rsidRPr="003D0B09">
        <w:rPr>
          <w:rFonts w:ascii="Calibri" w:hAnsi="Calibri" w:cs="Calibri"/>
          <w:sz w:val="22"/>
          <w:szCs w:val="22"/>
        </w:rPr>
        <w:t xml:space="preserve">CGR2 and CGR3 have critical overlapping roles in pectin methylesterification and plant growth in </w:t>
      </w:r>
      <w:r w:rsidR="00595262" w:rsidRPr="003D0B09">
        <w:rPr>
          <w:rFonts w:ascii="Calibri" w:hAnsi="Calibri" w:cs="Calibri"/>
          <w:i/>
          <w:sz w:val="22"/>
          <w:szCs w:val="22"/>
        </w:rPr>
        <w:t>Arabidopsis thaliana</w:t>
      </w:r>
      <w:r w:rsidRPr="003D0B09">
        <w:rPr>
          <w:rFonts w:ascii="Calibri" w:hAnsi="Calibri" w:cs="Calibri"/>
          <w:sz w:val="22"/>
          <w:szCs w:val="22"/>
        </w:rPr>
        <w:t xml:space="preserve">. </w:t>
      </w:r>
      <w:r w:rsidR="00595262" w:rsidRPr="003D0B09">
        <w:rPr>
          <w:rFonts w:ascii="Calibri" w:hAnsi="Calibri" w:cs="Calibri"/>
          <w:sz w:val="22"/>
          <w:szCs w:val="22"/>
        </w:rPr>
        <w:t>The Plant Journal</w:t>
      </w:r>
      <w:r w:rsidRPr="003D0B09">
        <w:rPr>
          <w:rFonts w:ascii="Calibri" w:hAnsi="Calibri" w:cs="Calibri"/>
          <w:sz w:val="22"/>
          <w:szCs w:val="22"/>
        </w:rPr>
        <w:t xml:space="preserve"> </w:t>
      </w:r>
      <w:r w:rsidR="00CE4ABD" w:rsidRPr="003D0B09">
        <w:rPr>
          <w:rFonts w:ascii="Calibri" w:hAnsi="Calibri" w:cs="Calibri"/>
          <w:b/>
          <w:sz w:val="22"/>
          <w:szCs w:val="22"/>
        </w:rPr>
        <w:t>82</w:t>
      </w:r>
      <w:r w:rsidR="00CE4ABD" w:rsidRPr="003D0B09">
        <w:rPr>
          <w:rFonts w:ascii="Calibri" w:hAnsi="Calibri" w:cs="Calibri"/>
          <w:sz w:val="22"/>
          <w:szCs w:val="22"/>
        </w:rPr>
        <w:t>, 208-220</w:t>
      </w:r>
      <w:r w:rsidRPr="003D0B09">
        <w:rPr>
          <w:rFonts w:ascii="Calibri" w:hAnsi="Calibri" w:cs="Calibri"/>
          <w:sz w:val="22"/>
          <w:szCs w:val="22"/>
        </w:rPr>
        <w:t>. </w:t>
      </w:r>
    </w:p>
    <w:p w14:paraId="3A35AE52" w14:textId="77777777" w:rsidR="004B0507" w:rsidRPr="003D0B09" w:rsidRDefault="004B0507" w:rsidP="004B0507">
      <w:pPr>
        <w:rPr>
          <w:rFonts w:ascii="Calibri" w:hAnsi="Calibri" w:cs="Calibri"/>
          <w:b/>
          <w:bCs/>
          <w:sz w:val="22"/>
          <w:szCs w:val="22"/>
        </w:rPr>
      </w:pPr>
    </w:p>
    <w:p w14:paraId="386D4446" w14:textId="77777777" w:rsidR="00A9544C" w:rsidRPr="003D0B09" w:rsidRDefault="004B0507" w:rsidP="004B0507">
      <w:pPr>
        <w:rPr>
          <w:rFonts w:ascii="Calibri" w:hAnsi="Calibri"/>
          <w:sz w:val="22"/>
          <w:szCs w:val="22"/>
        </w:rPr>
      </w:pPr>
      <w:r w:rsidRPr="003D0B09">
        <w:rPr>
          <w:rFonts w:ascii="Calibri" w:hAnsi="Calibri" w:cs="Calibri"/>
          <w:b/>
          <w:bCs/>
          <w:sz w:val="22"/>
          <w:szCs w:val="22"/>
        </w:rPr>
        <w:t>Contact</w:t>
      </w:r>
      <w:r w:rsidRPr="003D0B09">
        <w:rPr>
          <w:rFonts w:ascii="Calibri" w:hAnsi="Calibri" w:cs="Calibri"/>
          <w:sz w:val="22"/>
          <w:szCs w:val="22"/>
        </w:rPr>
        <w:t>: Dr. N. Kent Peters, SC-23.2, (301) 903-5549 </w:t>
      </w:r>
    </w:p>
    <w:sectPr w:rsidR="00A9544C" w:rsidRPr="003D0B09" w:rsidSect="00AF12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07"/>
    <w:rsid w:val="000002D7"/>
    <w:rsid w:val="003868BE"/>
    <w:rsid w:val="003D0B09"/>
    <w:rsid w:val="004B0507"/>
    <w:rsid w:val="00595262"/>
    <w:rsid w:val="0096335B"/>
    <w:rsid w:val="00A07172"/>
    <w:rsid w:val="00A9544C"/>
    <w:rsid w:val="00AF12E2"/>
    <w:rsid w:val="00CE4ABD"/>
    <w:rsid w:val="00D64504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6E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 read through and send off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HUBDOC-169-498</_dlc_DocId>
    <_dlc_DocIdUrl xmlns="f66da2ca-f37c-4205-929f-e8e9af1907d3">
      <Url>https://intranet.wei.wisc.edu/glbrc/doe/_layouts/15/DocIdRedir.aspx?ID=HUBDOC-169-498</Url>
      <Description>HUBDOC-169-498</Description>
    </_dlc_DocIdUrl>
  </documentManagement>
</p:properties>
</file>

<file path=customXml/itemProps1.xml><?xml version="1.0" encoding="utf-8"?>
<ds:datastoreItem xmlns:ds="http://schemas.openxmlformats.org/officeDocument/2006/customXml" ds:itemID="{A0B52C1E-CF21-4C52-8365-ED2FF28EA099}"/>
</file>

<file path=customXml/itemProps2.xml><?xml version="1.0" encoding="utf-8"?>
<ds:datastoreItem xmlns:ds="http://schemas.openxmlformats.org/officeDocument/2006/customXml" ds:itemID="{DA154406-277A-4CF3-89B0-A4FC91403EA8}"/>
</file>

<file path=customXml/itemProps3.xml><?xml version="1.0" encoding="utf-8"?>
<ds:datastoreItem xmlns:ds="http://schemas.openxmlformats.org/officeDocument/2006/customXml" ds:itemID="{7C68374D-1087-4452-AFF4-BF5BF79FB235}"/>
</file>

<file path=customXml/itemProps4.xml><?xml version="1.0" encoding="utf-8"?>
<ds:datastoreItem xmlns:ds="http://schemas.openxmlformats.org/officeDocument/2006/customXml" ds:itemID="{00C6AC2D-E384-4049-AADA-6961FA0F3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Ziegelhoffer</dc:creator>
  <cp:keywords/>
  <cp:lastModifiedBy>Kim, Sang-Jin</cp:lastModifiedBy>
  <cp:revision>2</cp:revision>
  <dcterms:created xsi:type="dcterms:W3CDTF">2015-08-26T20:26:00Z</dcterms:created>
  <dcterms:modified xsi:type="dcterms:W3CDTF">2015-08-26T20:26:00Z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15ad36be-c4bc-4a70-9f28-4142211e8042</vt:lpwstr>
  </property>
  <property fmtid="{D5CDD505-2E9C-101B-9397-08002B2CF9AE}" pid="4" name="TaxKeyword">
    <vt:lpwstr/>
  </property>
</Properties>
</file>