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E2E4" w14:textId="4A40B689" w:rsidR="007B274B" w:rsidRPr="007B274B" w:rsidRDefault="00402C8A"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 xml:space="preserve">4 March </w:t>
      </w:r>
      <w:r w:rsidR="00F9462B">
        <w:rPr>
          <w:rFonts w:ascii="Arial" w:eastAsia="Times New Roman" w:hAnsi="Arial" w:cs="Arial"/>
          <w:color w:val="7F7F7F"/>
          <w:sz w:val="20"/>
        </w:rPr>
        <w:t>2016</w:t>
      </w:r>
    </w:p>
    <w:p w14:paraId="24EFC9B8" w14:textId="716B2D96" w:rsidR="00402C8A" w:rsidRPr="00402C8A" w:rsidRDefault="00402C8A" w:rsidP="00402C8A">
      <w:pPr>
        <w:spacing w:before="100" w:beforeAutospacing="1" w:after="100" w:afterAutospacing="1" w:line="420" w:lineRule="atLeast"/>
        <w:outlineLvl w:val="1"/>
        <w:rPr>
          <w:rFonts w:ascii="Arial" w:eastAsia="Times New Roman" w:hAnsi="Arial" w:cs="Arial"/>
          <w:b/>
          <w:bCs/>
          <w:color w:val="106636"/>
          <w:kern w:val="36"/>
          <w:sz w:val="36"/>
          <w:szCs w:val="36"/>
        </w:rPr>
      </w:pPr>
      <w:r w:rsidRPr="00402C8A">
        <w:rPr>
          <w:rFonts w:ascii="Arial" w:eastAsia="Times New Roman" w:hAnsi="Arial" w:cs="Arial"/>
          <w:b/>
          <w:bCs/>
          <w:color w:val="106636"/>
          <w:kern w:val="36"/>
          <w:sz w:val="36"/>
          <w:szCs w:val="36"/>
        </w:rPr>
        <w:t xml:space="preserve">Structural Basis of </w:t>
      </w:r>
      <w:proofErr w:type="spellStart"/>
      <w:r w:rsidRPr="00402C8A">
        <w:rPr>
          <w:rFonts w:ascii="Arial" w:eastAsia="Times New Roman" w:hAnsi="Arial" w:cs="Arial"/>
          <w:b/>
          <w:bCs/>
          <w:color w:val="106636"/>
          <w:kern w:val="36"/>
          <w:sz w:val="36"/>
          <w:szCs w:val="36"/>
        </w:rPr>
        <w:t>Stereospecificity</w:t>
      </w:r>
      <w:proofErr w:type="spellEnd"/>
      <w:r w:rsidRPr="00402C8A">
        <w:rPr>
          <w:rFonts w:ascii="Arial" w:eastAsia="Times New Roman" w:hAnsi="Arial" w:cs="Arial"/>
          <w:b/>
          <w:bCs/>
          <w:color w:val="106636"/>
          <w:kern w:val="36"/>
          <w:sz w:val="36"/>
          <w:szCs w:val="36"/>
        </w:rPr>
        <w:t xml:space="preserve"> in Enzymatic Cleavage of Lignin Bonds </w:t>
      </w:r>
    </w:p>
    <w:p w14:paraId="07C7FFA5" w14:textId="08F12504" w:rsidR="00B06536" w:rsidRPr="00B06536" w:rsidRDefault="00B06536" w:rsidP="00B06536">
      <w:pPr>
        <w:tabs>
          <w:tab w:val="left" w:pos="3233"/>
        </w:tabs>
        <w:spacing w:before="100" w:beforeAutospacing="1" w:after="60" w:line="420" w:lineRule="atLeast"/>
        <w:outlineLvl w:val="3"/>
        <w:rPr>
          <w:rFonts w:ascii="Arial" w:eastAsia="Times New Roman" w:hAnsi="Arial" w:cs="Arial"/>
          <w:color w:val="989898"/>
          <w:sz w:val="30"/>
          <w:szCs w:val="30"/>
        </w:rPr>
      </w:pPr>
      <w:r w:rsidRPr="00B06536">
        <w:rPr>
          <w:rFonts w:ascii="Arial" w:eastAsia="Times New Roman" w:hAnsi="Arial" w:cs="Arial"/>
          <w:color w:val="989898"/>
          <w:sz w:val="30"/>
          <w:szCs w:val="30"/>
        </w:rPr>
        <w:t xml:space="preserve">Understanding how bacteria digest plant lignin informs future engineering efforts to extract value from lignin.  </w:t>
      </w:r>
    </w:p>
    <w:p w14:paraId="512BBDCB" w14:textId="06F53391"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Pr>
          <w:rFonts w:ascii="Arial" w:eastAsia="Times New Roman" w:hAnsi="Arial" w:cs="Arial"/>
          <w:b/>
          <w:bCs/>
          <w:color w:val="686868"/>
          <w:sz w:val="25"/>
          <w:szCs w:val="25"/>
        </w:rPr>
        <w:tab/>
      </w:r>
    </w:p>
    <w:p w14:paraId="08A0DABC" w14:textId="5F6AF0D4" w:rsidR="00015D92" w:rsidRPr="0078735F" w:rsidRDefault="00B06536" w:rsidP="006E12E9">
      <w:pPr>
        <w:spacing w:after="0"/>
        <w:rPr>
          <w:rFonts w:ascii="Arial" w:eastAsia="Times New Roman" w:hAnsi="Arial" w:cs="Arial"/>
          <w:color w:val="363636"/>
          <w:sz w:val="20"/>
          <w:szCs w:val="20"/>
        </w:rPr>
      </w:pPr>
      <w:r>
        <w:rPr>
          <w:rFonts w:ascii="Arial" w:eastAsia="Times New Roman" w:hAnsi="Arial" w:cs="Arial"/>
          <w:color w:val="363636"/>
          <w:sz w:val="20"/>
          <w:szCs w:val="20"/>
        </w:rPr>
        <w:t>In</w:t>
      </w:r>
      <w:r w:rsidRPr="00B06536">
        <w:rPr>
          <w:rFonts w:ascii="Arial" w:eastAsia="Times New Roman" w:hAnsi="Arial" w:cs="Arial"/>
          <w:color w:val="363636"/>
          <w:sz w:val="20"/>
          <w:szCs w:val="20"/>
        </w:rPr>
        <w:t xml:space="preserve"> order to determine the structural basis for </w:t>
      </w:r>
      <w:proofErr w:type="spellStart"/>
      <w:r w:rsidRPr="00B06536">
        <w:rPr>
          <w:rFonts w:ascii="Arial" w:eastAsia="Times New Roman" w:hAnsi="Arial" w:cs="Arial"/>
          <w:color w:val="363636"/>
          <w:sz w:val="20"/>
          <w:szCs w:val="20"/>
        </w:rPr>
        <w:t>stereospecificity</w:t>
      </w:r>
      <w:proofErr w:type="spellEnd"/>
      <w:r w:rsidRPr="00B06536">
        <w:rPr>
          <w:rFonts w:ascii="Arial" w:eastAsia="Times New Roman" w:hAnsi="Arial" w:cs="Arial"/>
          <w:color w:val="363636"/>
          <w:sz w:val="20"/>
          <w:szCs w:val="20"/>
        </w:rPr>
        <w:t xml:space="preserve"> of bacterial enzymes involved in lignin bond cleavage, crystal structures of the enzymes involved were solved and the corresponding biochemical analyses for these proteins were performed. The detailed structural and biochemical characterization of </w:t>
      </w:r>
      <w:proofErr w:type="spellStart"/>
      <w:r w:rsidRPr="00B06536">
        <w:rPr>
          <w:rFonts w:ascii="Arial" w:eastAsia="Times New Roman" w:hAnsi="Arial" w:cs="Arial"/>
          <w:color w:val="363636"/>
          <w:sz w:val="20"/>
          <w:szCs w:val="20"/>
        </w:rPr>
        <w:t>LigE</w:t>
      </w:r>
      <w:proofErr w:type="spellEnd"/>
      <w:r w:rsidRPr="00B06536">
        <w:rPr>
          <w:rFonts w:ascii="Arial" w:eastAsia="Times New Roman" w:hAnsi="Arial" w:cs="Arial"/>
          <w:color w:val="363636"/>
          <w:sz w:val="20"/>
          <w:szCs w:val="20"/>
        </w:rPr>
        <w:t xml:space="preserve"> and </w:t>
      </w:r>
      <w:proofErr w:type="spellStart"/>
      <w:r w:rsidRPr="00B06536">
        <w:rPr>
          <w:rFonts w:ascii="Arial" w:eastAsia="Times New Roman" w:hAnsi="Arial" w:cs="Arial"/>
          <w:color w:val="363636"/>
          <w:sz w:val="20"/>
          <w:szCs w:val="20"/>
        </w:rPr>
        <w:t>LigF</w:t>
      </w:r>
      <w:proofErr w:type="spellEnd"/>
      <w:r w:rsidRPr="00B06536">
        <w:rPr>
          <w:rFonts w:ascii="Arial" w:eastAsia="Times New Roman" w:hAnsi="Arial" w:cs="Arial"/>
          <w:color w:val="363636"/>
          <w:sz w:val="20"/>
          <w:szCs w:val="20"/>
        </w:rPr>
        <w:t xml:space="preserve"> in this study,</w:t>
      </w:r>
      <w:r w:rsidRPr="00B06536">
        <w:rPr>
          <w:rFonts w:ascii="Arial" w:eastAsia="Times New Roman" w:hAnsi="Arial" w:cs="Arial"/>
          <w:color w:val="363636"/>
          <w:sz w:val="20"/>
          <w:szCs w:val="20"/>
          <w:vertAlign w:val="superscript"/>
        </w:rPr>
        <w:t>1</w:t>
      </w:r>
      <w:r w:rsidRPr="00B06536">
        <w:rPr>
          <w:rFonts w:ascii="Arial" w:eastAsia="Times New Roman" w:hAnsi="Arial" w:cs="Arial"/>
          <w:color w:val="363636"/>
          <w:sz w:val="20"/>
          <w:szCs w:val="20"/>
        </w:rPr>
        <w:t xml:space="preserve"> and the corresponding detailed structural and biochemical characterization of other members of this lignin degradation pathway (</w:t>
      </w:r>
      <w:proofErr w:type="spellStart"/>
      <w:r w:rsidRPr="00B06536">
        <w:rPr>
          <w:rFonts w:ascii="Arial" w:eastAsia="Times New Roman" w:hAnsi="Arial" w:cs="Arial"/>
          <w:color w:val="363636"/>
          <w:sz w:val="20"/>
          <w:szCs w:val="20"/>
        </w:rPr>
        <w:t>LigD</w:t>
      </w:r>
      <w:proofErr w:type="spellEnd"/>
      <w:r w:rsidRPr="00B06536">
        <w:rPr>
          <w:rFonts w:ascii="Arial" w:eastAsia="Times New Roman" w:hAnsi="Arial" w:cs="Arial"/>
          <w:color w:val="363636"/>
          <w:sz w:val="20"/>
          <w:szCs w:val="20"/>
        </w:rPr>
        <w:t xml:space="preserve">, </w:t>
      </w:r>
      <w:proofErr w:type="spellStart"/>
      <w:r w:rsidRPr="00B06536">
        <w:rPr>
          <w:rFonts w:ascii="Arial" w:eastAsia="Times New Roman" w:hAnsi="Arial" w:cs="Arial"/>
          <w:color w:val="363636"/>
          <w:sz w:val="20"/>
          <w:szCs w:val="20"/>
        </w:rPr>
        <w:t>LigO</w:t>
      </w:r>
      <w:proofErr w:type="spellEnd"/>
      <w:r w:rsidRPr="00B06536">
        <w:rPr>
          <w:rFonts w:ascii="Arial" w:eastAsia="Times New Roman" w:hAnsi="Arial" w:cs="Arial"/>
          <w:color w:val="363636"/>
          <w:sz w:val="20"/>
          <w:szCs w:val="20"/>
        </w:rPr>
        <w:t xml:space="preserve">, </w:t>
      </w:r>
      <w:proofErr w:type="spellStart"/>
      <w:r w:rsidRPr="00B06536">
        <w:rPr>
          <w:rFonts w:ascii="Arial" w:eastAsia="Times New Roman" w:hAnsi="Arial" w:cs="Arial"/>
          <w:color w:val="363636"/>
          <w:sz w:val="20"/>
          <w:szCs w:val="20"/>
        </w:rPr>
        <w:t>LigL</w:t>
      </w:r>
      <w:proofErr w:type="spellEnd"/>
      <w:r w:rsidRPr="00B06536">
        <w:rPr>
          <w:rFonts w:ascii="Arial" w:eastAsia="Times New Roman" w:hAnsi="Arial" w:cs="Arial"/>
          <w:color w:val="363636"/>
          <w:sz w:val="20"/>
          <w:szCs w:val="20"/>
        </w:rPr>
        <w:t xml:space="preserve">, and </w:t>
      </w:r>
      <w:proofErr w:type="spellStart"/>
      <w:r w:rsidRPr="00B06536">
        <w:rPr>
          <w:rFonts w:ascii="Arial" w:eastAsia="Times New Roman" w:hAnsi="Arial" w:cs="Arial"/>
          <w:color w:val="363636"/>
          <w:sz w:val="20"/>
          <w:szCs w:val="20"/>
        </w:rPr>
        <w:t>LigG</w:t>
      </w:r>
      <w:proofErr w:type="spellEnd"/>
      <w:r w:rsidRPr="00B06536">
        <w:rPr>
          <w:rFonts w:ascii="Arial" w:eastAsia="Times New Roman" w:hAnsi="Arial" w:cs="Arial"/>
          <w:color w:val="363636"/>
          <w:sz w:val="20"/>
          <w:szCs w:val="20"/>
        </w:rPr>
        <w:t>) in a second study,</w:t>
      </w:r>
      <w:r w:rsidRPr="00B06536">
        <w:rPr>
          <w:rFonts w:ascii="Arial" w:eastAsia="Times New Roman" w:hAnsi="Arial" w:cs="Arial"/>
          <w:color w:val="363636"/>
          <w:sz w:val="20"/>
          <w:szCs w:val="20"/>
          <w:vertAlign w:val="superscript"/>
        </w:rPr>
        <w:t>2</w:t>
      </w:r>
      <w:r w:rsidRPr="00B06536">
        <w:rPr>
          <w:rFonts w:ascii="Arial" w:eastAsia="Times New Roman" w:hAnsi="Arial" w:cs="Arial"/>
          <w:color w:val="363636"/>
          <w:sz w:val="20"/>
          <w:szCs w:val="20"/>
        </w:rPr>
        <w:t xml:space="preserve"> reveal important new aspects of the enzyme mechanisms and the determinants of substrate specificity.</w:t>
      </w:r>
    </w:p>
    <w:p w14:paraId="7B982AD0"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664A573" w14:textId="4862FA34" w:rsidR="006E12E9" w:rsidRPr="006E12E9" w:rsidRDefault="00B06536" w:rsidP="006E12E9">
      <w:pPr>
        <w:spacing w:after="180"/>
        <w:rPr>
          <w:rFonts w:ascii="Arial" w:eastAsia="Times New Roman" w:hAnsi="Arial" w:cs="Arial"/>
          <w:color w:val="363636"/>
          <w:sz w:val="20"/>
          <w:szCs w:val="20"/>
        </w:rPr>
      </w:pPr>
      <w:r w:rsidRPr="00B06536">
        <w:rPr>
          <w:rFonts w:ascii="Arial" w:eastAsia="Times New Roman" w:hAnsi="Arial" w:cs="Arial"/>
          <w:color w:val="363636"/>
          <w:sz w:val="20"/>
          <w:szCs w:val="20"/>
        </w:rPr>
        <w:t xml:space="preserve">Although lignin, a combinatorial polymer comprising </w:t>
      </w:r>
      <w:proofErr w:type="spellStart"/>
      <w:r w:rsidRPr="00B06536">
        <w:rPr>
          <w:rFonts w:ascii="Arial" w:eastAsia="Times New Roman" w:hAnsi="Arial" w:cs="Arial"/>
          <w:color w:val="363636"/>
          <w:sz w:val="20"/>
          <w:szCs w:val="20"/>
        </w:rPr>
        <w:t>monoaromatic</w:t>
      </w:r>
      <w:proofErr w:type="spellEnd"/>
      <w:r w:rsidRPr="00B06536">
        <w:rPr>
          <w:rFonts w:ascii="Arial" w:eastAsia="Times New Roman" w:hAnsi="Arial" w:cs="Arial"/>
          <w:color w:val="363636"/>
          <w:sz w:val="20"/>
          <w:szCs w:val="20"/>
        </w:rPr>
        <w:t xml:space="preserve"> units, is a potential source of valuable aromatic chemicals, its recalcitrance to chemical or biological digestion presents major obstacles to both the production of second-generation biofuels and the generation of valuable co-products from lignin’s </w:t>
      </w:r>
      <w:proofErr w:type="spellStart"/>
      <w:r w:rsidRPr="00B06536">
        <w:rPr>
          <w:rFonts w:ascii="Arial" w:eastAsia="Times New Roman" w:hAnsi="Arial" w:cs="Arial"/>
          <w:color w:val="363636"/>
          <w:sz w:val="20"/>
          <w:szCs w:val="20"/>
        </w:rPr>
        <w:t>monoaromatic</w:t>
      </w:r>
      <w:proofErr w:type="spellEnd"/>
      <w:r w:rsidRPr="00B06536">
        <w:rPr>
          <w:rFonts w:ascii="Arial" w:eastAsia="Times New Roman" w:hAnsi="Arial" w:cs="Arial"/>
          <w:color w:val="363636"/>
          <w:sz w:val="20"/>
          <w:szCs w:val="20"/>
        </w:rPr>
        <w:t xml:space="preserve"> units. These collaborative studies, in which aspects of lignin degradation mechanisms have been identified, inform broader lignin valorization efforts that will ultimately enable the development of efficient pathways for the conversion of lignin into renewable aromatics with applications in advanced biofuels and chemicals.    </w:t>
      </w:r>
    </w:p>
    <w:p w14:paraId="3CC88FEB"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B9B462A" w14:textId="0A00C626" w:rsidR="00B06536" w:rsidRPr="00B06536" w:rsidRDefault="00B06536" w:rsidP="00B06536">
      <w:pPr>
        <w:spacing w:after="180"/>
        <w:rPr>
          <w:rFonts w:ascii="Arial" w:eastAsia="Times New Roman" w:hAnsi="Arial" w:cs="Arial"/>
          <w:color w:val="363636"/>
          <w:sz w:val="20"/>
          <w:szCs w:val="20"/>
        </w:rPr>
      </w:pPr>
      <w:r w:rsidRPr="00B06536">
        <w:rPr>
          <w:rFonts w:ascii="Arial" w:eastAsia="Times New Roman" w:hAnsi="Arial" w:cs="Arial"/>
          <w:color w:val="363636"/>
          <w:sz w:val="20"/>
          <w:szCs w:val="20"/>
        </w:rPr>
        <w:t xml:space="preserve">The primary obstacle in the production of </w:t>
      </w:r>
      <w:proofErr w:type="spellStart"/>
      <w:r w:rsidRPr="00B06536">
        <w:rPr>
          <w:rFonts w:ascii="Arial" w:eastAsia="Times New Roman" w:hAnsi="Arial" w:cs="Arial"/>
          <w:color w:val="363636"/>
          <w:sz w:val="20"/>
          <w:szCs w:val="20"/>
        </w:rPr>
        <w:t>lignocellulosic</w:t>
      </w:r>
      <w:proofErr w:type="spellEnd"/>
      <w:r w:rsidRPr="00B06536">
        <w:rPr>
          <w:rFonts w:ascii="Arial" w:eastAsia="Times New Roman" w:hAnsi="Arial" w:cs="Arial"/>
          <w:color w:val="363636"/>
          <w:sz w:val="20"/>
          <w:szCs w:val="20"/>
        </w:rPr>
        <w:t xml:space="preserve"> biofuels is the release of sugars in high quantities at low cost from recalcitrant biomass </w:t>
      </w:r>
      <w:proofErr w:type="spellStart"/>
      <w:r w:rsidRPr="00B06536">
        <w:rPr>
          <w:rFonts w:ascii="Arial" w:eastAsia="Times New Roman" w:hAnsi="Arial" w:cs="Arial"/>
          <w:color w:val="363636"/>
          <w:sz w:val="20"/>
          <w:szCs w:val="20"/>
        </w:rPr>
        <w:t>feedstocks</w:t>
      </w:r>
      <w:proofErr w:type="spellEnd"/>
      <w:r w:rsidRPr="00B06536">
        <w:rPr>
          <w:rFonts w:ascii="Arial" w:eastAsia="Times New Roman" w:hAnsi="Arial" w:cs="Arial"/>
          <w:color w:val="363636"/>
          <w:sz w:val="20"/>
          <w:szCs w:val="20"/>
        </w:rPr>
        <w:t xml:space="preserve">. Although lignin is a potential source of valuable aromatic chemicals, its recalcitrance to chemical or biological digestion presents major obstacles to both the production of second-generation biofuels and the generation of valuable co-products from lignin’s </w:t>
      </w:r>
      <w:proofErr w:type="spellStart"/>
      <w:r w:rsidRPr="00B06536">
        <w:rPr>
          <w:rFonts w:ascii="Arial" w:eastAsia="Times New Roman" w:hAnsi="Arial" w:cs="Arial"/>
          <w:color w:val="363636"/>
          <w:sz w:val="20"/>
          <w:szCs w:val="20"/>
        </w:rPr>
        <w:t>monoaromatic</w:t>
      </w:r>
      <w:proofErr w:type="spellEnd"/>
      <w:r w:rsidRPr="00B06536">
        <w:rPr>
          <w:rFonts w:ascii="Arial" w:eastAsia="Times New Roman" w:hAnsi="Arial" w:cs="Arial"/>
          <w:color w:val="363636"/>
          <w:sz w:val="20"/>
          <w:szCs w:val="20"/>
        </w:rPr>
        <w:t xml:space="preserve"> units. A catabolic pathway for the enzymatic breakdown of aromatic oligomers linked via β-aryl ether bonds typically found in lignin has been reported in the bacterium </w:t>
      </w:r>
      <w:proofErr w:type="spellStart"/>
      <w:r w:rsidRPr="00B06536">
        <w:rPr>
          <w:rFonts w:ascii="Arial" w:eastAsia="Times New Roman" w:hAnsi="Arial" w:cs="Arial"/>
          <w:i/>
          <w:color w:val="363636"/>
          <w:sz w:val="20"/>
          <w:szCs w:val="20"/>
        </w:rPr>
        <w:t>Sphingobium</w:t>
      </w:r>
      <w:proofErr w:type="spellEnd"/>
      <w:r w:rsidRPr="00B06536">
        <w:rPr>
          <w:rFonts w:ascii="Arial" w:eastAsia="Times New Roman" w:hAnsi="Arial" w:cs="Arial"/>
          <w:color w:val="363636"/>
          <w:sz w:val="20"/>
          <w:szCs w:val="20"/>
        </w:rPr>
        <w:t xml:space="preserve"> sp. SYK-6. Here are presented X-ray crystal structures and biochemical characterizations of the glutathione-dependent β-</w:t>
      </w:r>
      <w:proofErr w:type="spellStart"/>
      <w:r w:rsidRPr="00B06536">
        <w:rPr>
          <w:rFonts w:ascii="Arial" w:eastAsia="Times New Roman" w:hAnsi="Arial" w:cs="Arial"/>
          <w:color w:val="363636"/>
          <w:sz w:val="20"/>
          <w:szCs w:val="20"/>
        </w:rPr>
        <w:t>etherases</w:t>
      </w:r>
      <w:proofErr w:type="spellEnd"/>
      <w:r w:rsidRPr="00B06536">
        <w:rPr>
          <w:rFonts w:ascii="Arial" w:eastAsia="Times New Roman" w:hAnsi="Arial" w:cs="Arial"/>
          <w:color w:val="363636"/>
          <w:sz w:val="20"/>
          <w:szCs w:val="20"/>
        </w:rPr>
        <w:t xml:space="preserve">, </w:t>
      </w:r>
      <w:proofErr w:type="spellStart"/>
      <w:r w:rsidRPr="00B06536">
        <w:rPr>
          <w:rFonts w:ascii="Arial" w:eastAsia="Times New Roman" w:hAnsi="Arial" w:cs="Arial"/>
          <w:color w:val="363636"/>
          <w:sz w:val="20"/>
          <w:szCs w:val="20"/>
        </w:rPr>
        <w:t>LigE</w:t>
      </w:r>
      <w:proofErr w:type="spellEnd"/>
      <w:r w:rsidRPr="00B06536">
        <w:rPr>
          <w:rFonts w:ascii="Arial" w:eastAsia="Times New Roman" w:hAnsi="Arial" w:cs="Arial"/>
          <w:color w:val="363636"/>
          <w:sz w:val="20"/>
          <w:szCs w:val="20"/>
        </w:rPr>
        <w:t xml:space="preserve"> and </w:t>
      </w:r>
      <w:proofErr w:type="spellStart"/>
      <w:r w:rsidRPr="00B06536">
        <w:rPr>
          <w:rFonts w:ascii="Arial" w:eastAsia="Times New Roman" w:hAnsi="Arial" w:cs="Arial"/>
          <w:color w:val="363636"/>
          <w:sz w:val="20"/>
          <w:szCs w:val="20"/>
        </w:rPr>
        <w:t>LigF</w:t>
      </w:r>
      <w:proofErr w:type="spellEnd"/>
      <w:r w:rsidRPr="00B06536">
        <w:rPr>
          <w:rFonts w:ascii="Arial" w:eastAsia="Times New Roman" w:hAnsi="Arial" w:cs="Arial"/>
          <w:color w:val="363636"/>
          <w:sz w:val="20"/>
          <w:szCs w:val="20"/>
        </w:rPr>
        <w:t xml:space="preserve"> from this pathway. Results from this study,</w:t>
      </w:r>
      <w:r w:rsidRPr="00B06536">
        <w:rPr>
          <w:rFonts w:ascii="Arial" w:eastAsia="Times New Roman" w:hAnsi="Arial" w:cs="Arial"/>
          <w:color w:val="363636"/>
          <w:sz w:val="20"/>
          <w:szCs w:val="20"/>
          <w:vertAlign w:val="superscript"/>
        </w:rPr>
        <w:t>1</w:t>
      </w:r>
      <w:r w:rsidRPr="00B06536">
        <w:rPr>
          <w:rFonts w:ascii="Arial" w:eastAsia="Times New Roman" w:hAnsi="Arial" w:cs="Arial"/>
          <w:color w:val="363636"/>
          <w:sz w:val="20"/>
          <w:szCs w:val="20"/>
        </w:rPr>
        <w:t xml:space="preserve"> and a second study (both of which are collaborations with GLBRC, JBEI and others),</w:t>
      </w:r>
      <w:r w:rsidRPr="00B06536">
        <w:rPr>
          <w:rFonts w:ascii="Arial" w:eastAsia="Times New Roman" w:hAnsi="Arial" w:cs="Arial"/>
          <w:color w:val="363636"/>
          <w:sz w:val="20"/>
          <w:szCs w:val="20"/>
          <w:vertAlign w:val="superscript"/>
        </w:rPr>
        <w:t>2</w:t>
      </w:r>
      <w:r w:rsidRPr="00B06536">
        <w:rPr>
          <w:rFonts w:ascii="Arial" w:eastAsia="Times New Roman" w:hAnsi="Arial" w:cs="Arial"/>
          <w:color w:val="363636"/>
          <w:sz w:val="20"/>
          <w:szCs w:val="20"/>
        </w:rPr>
        <w:t xml:space="preserve"> reveal important new aspects of the enzyme mechanisms and the determinants of substrate specificity. As β-aryl ether bonds account for 50-70% of all inter-unit linkages in lignin, understanding the mechanism of enzymatic β-aryl ether cleavage has significant potential for informing ongoing studies on the valorization of lignin. </w:t>
      </w: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2ED27E7B"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23B2250" w14:textId="48F354E8" w:rsidR="00B06536" w:rsidRPr="00B06536" w:rsidRDefault="00B06536" w:rsidP="00B06536">
      <w:pPr>
        <w:spacing w:after="180" w:line="285" w:lineRule="atLeast"/>
        <w:rPr>
          <w:rFonts w:ascii="Arial" w:eastAsia="Times New Roman" w:hAnsi="Arial" w:cs="Arial"/>
          <w:bCs/>
          <w:color w:val="363636"/>
          <w:sz w:val="20"/>
          <w:szCs w:val="20"/>
        </w:rPr>
      </w:pPr>
      <w:r w:rsidRPr="00B06536">
        <w:rPr>
          <w:rFonts w:ascii="Arial" w:eastAsia="Times New Roman" w:hAnsi="Arial" w:cs="Arial"/>
          <w:bCs/>
          <w:color w:val="363636"/>
          <w:sz w:val="20"/>
          <w:szCs w:val="20"/>
        </w:rPr>
        <w:lastRenderedPageBreak/>
        <w:t xml:space="preserve">George N. Phillips, Jr. </w:t>
      </w:r>
      <w:r>
        <w:rPr>
          <w:rFonts w:ascii="Arial" w:eastAsia="Times New Roman" w:hAnsi="Arial" w:cs="Arial"/>
          <w:bCs/>
          <w:color w:val="363636"/>
          <w:sz w:val="20"/>
          <w:szCs w:val="20"/>
        </w:rPr>
        <w:br/>
      </w:r>
      <w:r w:rsidRPr="00B06536">
        <w:rPr>
          <w:rFonts w:ascii="Arial" w:eastAsia="Times New Roman" w:hAnsi="Arial" w:cs="Arial"/>
          <w:bCs/>
          <w:color w:val="363636"/>
          <w:sz w:val="20"/>
          <w:szCs w:val="20"/>
        </w:rPr>
        <w:t>Rice University</w:t>
      </w:r>
      <w:r>
        <w:rPr>
          <w:rFonts w:ascii="Arial" w:eastAsia="Times New Roman" w:hAnsi="Arial" w:cs="Arial"/>
          <w:bCs/>
          <w:color w:val="363636"/>
          <w:sz w:val="20"/>
          <w:szCs w:val="20"/>
        </w:rPr>
        <w:br/>
      </w:r>
      <w:hyperlink r:id="rId12" w:history="1">
        <w:r w:rsidRPr="00B06536">
          <w:rPr>
            <w:rStyle w:val="Hyperlink"/>
            <w:rFonts w:ascii="Arial" w:eastAsia="Times New Roman" w:hAnsi="Arial" w:cs="Arial"/>
            <w:bCs/>
            <w:sz w:val="20"/>
            <w:szCs w:val="20"/>
          </w:rPr>
          <w:t>georgep@rice.edu</w:t>
        </w:r>
      </w:hyperlink>
    </w:p>
    <w:p w14:paraId="20AF8A83" w14:textId="5EA10E66" w:rsidR="00B06536" w:rsidRPr="0087701D" w:rsidRDefault="007B274B" w:rsidP="0087701D">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r w:rsidR="0087701D">
        <w:rPr>
          <w:rFonts w:ascii="Arial" w:eastAsia="Times New Roman" w:hAnsi="Arial" w:cs="Arial"/>
          <w:b/>
          <w:bCs/>
          <w:color w:val="686868"/>
          <w:sz w:val="25"/>
          <w:szCs w:val="25"/>
        </w:rPr>
        <w:br/>
      </w:r>
      <w:r w:rsidR="00B06536" w:rsidRPr="00B06536">
        <w:rPr>
          <w:rFonts w:ascii="Arial" w:eastAsia="Times New Roman" w:hAnsi="Arial" w:cs="Arial"/>
          <w:sz w:val="20"/>
          <w:szCs w:val="20"/>
        </w:rPr>
        <w:t xml:space="preserve">This work was funded by the DOE Great Lakes Bioenergy Research Center (DOE BER Office of Science DE-FC02-07ER64494) and the DOE Joint </w:t>
      </w:r>
      <w:proofErr w:type="spellStart"/>
      <w:r w:rsidR="00B06536" w:rsidRPr="00B06536">
        <w:rPr>
          <w:rFonts w:ascii="Arial" w:eastAsia="Times New Roman" w:hAnsi="Arial" w:cs="Arial"/>
          <w:sz w:val="20"/>
          <w:szCs w:val="20"/>
        </w:rPr>
        <w:t>BioEnergy</w:t>
      </w:r>
      <w:proofErr w:type="spellEnd"/>
      <w:r w:rsidR="00B06536" w:rsidRPr="00B06536">
        <w:rPr>
          <w:rFonts w:ascii="Arial" w:eastAsia="Times New Roman" w:hAnsi="Arial" w:cs="Arial"/>
          <w:sz w:val="20"/>
          <w:szCs w:val="20"/>
        </w:rPr>
        <w:t xml:space="preserve"> Institute (DOE BER Office of Science DE-AC02-05CH11231), additional grants from DOE (Office of Science, Office of Basic Energy Sciences, Contract No. DE-AC02-05CH11231 and DE-AC02-06CH11357), grants from the National Institutes of Health (AGM-12006, GM109456, GM098248, P41GM103399, S10RR027000), the Michigan Economic Development Corporation and the Michigan Technology Tri-Corridor (Grant 085P1000817), the National Cancer Institute (ACB-12002), and the University of Wisconsin-Madison.  </w:t>
      </w:r>
    </w:p>
    <w:p w14:paraId="04EE5497" w14:textId="24A673A7" w:rsidR="007B274B" w:rsidRDefault="007B274B" w:rsidP="00B06536">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249088BA" w14:textId="4B883B0D" w:rsidR="0087701D" w:rsidRPr="0087701D" w:rsidRDefault="0087701D" w:rsidP="0087701D">
      <w:pPr>
        <w:widowControl w:val="0"/>
        <w:autoSpaceDE w:val="0"/>
        <w:autoSpaceDN w:val="0"/>
        <w:adjustRightInd w:val="0"/>
        <w:rPr>
          <w:rFonts w:ascii="Arial" w:hAnsi="Arial" w:cs="Arial"/>
          <w:sz w:val="20"/>
          <w:szCs w:val="20"/>
        </w:rPr>
      </w:pPr>
      <w:r w:rsidRPr="0087701D">
        <w:rPr>
          <w:rFonts w:ascii="Arial" w:hAnsi="Arial" w:cs="Arial"/>
          <w:sz w:val="20"/>
          <w:szCs w:val="20"/>
          <w:vertAlign w:val="superscript"/>
        </w:rPr>
        <w:t>1</w:t>
      </w:r>
      <w:r w:rsidRPr="0087701D">
        <w:rPr>
          <w:rFonts w:ascii="Arial" w:hAnsi="Arial" w:cs="Arial"/>
          <w:sz w:val="20"/>
          <w:szCs w:val="20"/>
        </w:rPr>
        <w:t xml:space="preserve"> K. </w:t>
      </w:r>
      <w:proofErr w:type="spellStart"/>
      <w:r w:rsidRPr="0087701D">
        <w:rPr>
          <w:rFonts w:ascii="Arial" w:hAnsi="Arial" w:cs="Arial"/>
          <w:sz w:val="20"/>
          <w:szCs w:val="20"/>
        </w:rPr>
        <w:t>Helmich</w:t>
      </w:r>
      <w:proofErr w:type="spellEnd"/>
      <w:r w:rsidRPr="0087701D">
        <w:rPr>
          <w:rFonts w:ascii="Arial" w:hAnsi="Arial" w:cs="Arial"/>
          <w:sz w:val="20"/>
          <w:szCs w:val="20"/>
        </w:rPr>
        <w:t xml:space="preserve">, </w:t>
      </w:r>
      <w:r w:rsidRPr="0087701D">
        <w:rPr>
          <w:rFonts w:ascii="Arial" w:hAnsi="Arial" w:cs="Arial"/>
          <w:i/>
          <w:sz w:val="20"/>
          <w:szCs w:val="20"/>
        </w:rPr>
        <w:t>et al.</w:t>
      </w:r>
      <w:r w:rsidRPr="0087701D">
        <w:rPr>
          <w:rFonts w:ascii="Arial" w:hAnsi="Arial" w:cs="Arial"/>
          <w:sz w:val="20"/>
          <w:szCs w:val="20"/>
        </w:rPr>
        <w:t xml:space="preserve">, “Structural basis of </w:t>
      </w:r>
      <w:proofErr w:type="spellStart"/>
      <w:r w:rsidRPr="0087701D">
        <w:rPr>
          <w:rFonts w:ascii="Arial" w:hAnsi="Arial" w:cs="Arial"/>
          <w:sz w:val="20"/>
          <w:szCs w:val="20"/>
        </w:rPr>
        <w:t>stereospecificity</w:t>
      </w:r>
      <w:proofErr w:type="spellEnd"/>
      <w:r w:rsidRPr="0087701D">
        <w:rPr>
          <w:rFonts w:ascii="Arial" w:hAnsi="Arial" w:cs="Arial"/>
          <w:sz w:val="20"/>
          <w:szCs w:val="20"/>
        </w:rPr>
        <w:t xml:space="preserve"> in the bacterial enzymatic cleavage of β-aryl ether bonds in lignin</w:t>
      </w:r>
      <w:r w:rsidRPr="0087701D">
        <w:rPr>
          <w:rFonts w:ascii="Arial" w:hAnsi="Arial" w:cs="Arial"/>
          <w:b/>
          <w:sz w:val="20"/>
          <w:szCs w:val="20"/>
        </w:rPr>
        <w:t>.”</w:t>
      </w:r>
      <w:r w:rsidRPr="0087701D">
        <w:rPr>
          <w:rFonts w:ascii="Arial" w:hAnsi="Arial" w:cs="Arial"/>
          <w:sz w:val="20"/>
          <w:szCs w:val="20"/>
        </w:rPr>
        <w:t xml:space="preserve"> </w:t>
      </w:r>
      <w:r w:rsidRPr="0087701D">
        <w:rPr>
          <w:rFonts w:ascii="Arial" w:hAnsi="Arial" w:cs="Arial"/>
          <w:i/>
          <w:sz w:val="20"/>
          <w:szCs w:val="20"/>
        </w:rPr>
        <w:t>The Journal of Biological Chemistry</w:t>
      </w:r>
      <w:r w:rsidRPr="0087701D">
        <w:rPr>
          <w:rFonts w:ascii="Arial" w:hAnsi="Arial" w:cs="Arial"/>
          <w:sz w:val="20"/>
          <w:szCs w:val="20"/>
        </w:rPr>
        <w:t xml:space="preserve">, (2016) [DOI:10.1074/jbc.M115.694307] </w:t>
      </w:r>
    </w:p>
    <w:p w14:paraId="26904B8F" w14:textId="16CC61A9" w:rsidR="00BE7F5F" w:rsidRPr="0087701D" w:rsidRDefault="0087701D" w:rsidP="006E12E9">
      <w:pPr>
        <w:widowControl w:val="0"/>
        <w:autoSpaceDE w:val="0"/>
        <w:autoSpaceDN w:val="0"/>
        <w:adjustRightInd w:val="0"/>
        <w:rPr>
          <w:rFonts w:ascii="Arial" w:hAnsi="Arial" w:cs="Arial"/>
          <w:b/>
          <w:sz w:val="20"/>
          <w:szCs w:val="20"/>
        </w:rPr>
      </w:pPr>
      <w:r w:rsidRPr="0087701D">
        <w:rPr>
          <w:rFonts w:ascii="Arial" w:hAnsi="Arial" w:cs="Arial"/>
          <w:sz w:val="20"/>
          <w:szCs w:val="20"/>
          <w:vertAlign w:val="superscript"/>
        </w:rPr>
        <w:t>2</w:t>
      </w:r>
      <w:r w:rsidRPr="0087701D">
        <w:rPr>
          <w:rFonts w:ascii="Arial" w:hAnsi="Arial" w:cs="Arial"/>
          <w:sz w:val="20"/>
          <w:szCs w:val="20"/>
        </w:rPr>
        <w:t xml:space="preserve"> J. H. Pereira, </w:t>
      </w:r>
      <w:r w:rsidRPr="0087701D">
        <w:rPr>
          <w:rFonts w:ascii="Arial" w:hAnsi="Arial" w:cs="Arial"/>
          <w:i/>
          <w:sz w:val="20"/>
          <w:szCs w:val="20"/>
        </w:rPr>
        <w:t>et al.</w:t>
      </w:r>
      <w:r w:rsidRPr="0087701D">
        <w:rPr>
          <w:rFonts w:ascii="Arial" w:hAnsi="Arial" w:cs="Arial"/>
          <w:sz w:val="20"/>
          <w:szCs w:val="20"/>
        </w:rPr>
        <w:t xml:space="preserve">, “Structural and biochemical characterization of the early and late enzymes in the lignin β-aryl ether cleavage pathway from </w:t>
      </w:r>
      <w:proofErr w:type="spellStart"/>
      <w:r w:rsidRPr="0087701D">
        <w:rPr>
          <w:rFonts w:ascii="Arial" w:hAnsi="Arial" w:cs="Arial"/>
          <w:i/>
          <w:sz w:val="20"/>
          <w:szCs w:val="20"/>
        </w:rPr>
        <w:t>Sphingobium</w:t>
      </w:r>
      <w:proofErr w:type="spellEnd"/>
      <w:r w:rsidRPr="0087701D">
        <w:rPr>
          <w:rFonts w:ascii="Arial" w:hAnsi="Arial" w:cs="Arial"/>
          <w:sz w:val="20"/>
          <w:szCs w:val="20"/>
        </w:rPr>
        <w:t xml:space="preserve"> </w:t>
      </w:r>
      <w:proofErr w:type="spellStart"/>
      <w:r w:rsidRPr="0087701D">
        <w:rPr>
          <w:rFonts w:ascii="Arial" w:hAnsi="Arial" w:cs="Arial"/>
          <w:sz w:val="20"/>
          <w:szCs w:val="20"/>
        </w:rPr>
        <w:t>sp</w:t>
      </w:r>
      <w:proofErr w:type="spellEnd"/>
      <w:r w:rsidRPr="0087701D">
        <w:rPr>
          <w:rFonts w:ascii="Arial" w:hAnsi="Arial" w:cs="Arial"/>
          <w:sz w:val="20"/>
          <w:szCs w:val="20"/>
        </w:rPr>
        <w:t xml:space="preserve"> SYK-6</w:t>
      </w:r>
      <w:r w:rsidRPr="0087701D">
        <w:rPr>
          <w:rFonts w:ascii="Arial" w:hAnsi="Arial" w:cs="Arial"/>
          <w:b/>
          <w:sz w:val="20"/>
          <w:szCs w:val="20"/>
        </w:rPr>
        <w:t>.”</w:t>
      </w:r>
      <w:r w:rsidRPr="0087701D">
        <w:rPr>
          <w:rFonts w:ascii="Arial" w:hAnsi="Arial" w:cs="Arial"/>
          <w:sz w:val="20"/>
          <w:szCs w:val="20"/>
        </w:rPr>
        <w:t xml:space="preserve"> </w:t>
      </w:r>
      <w:r w:rsidRPr="0087701D">
        <w:rPr>
          <w:rFonts w:ascii="Arial" w:hAnsi="Arial" w:cs="Arial"/>
          <w:i/>
          <w:sz w:val="20"/>
          <w:szCs w:val="20"/>
        </w:rPr>
        <w:t>The Journal of Biological Chemistry</w:t>
      </w:r>
      <w:r w:rsidRPr="0087701D">
        <w:rPr>
          <w:rFonts w:ascii="Arial" w:hAnsi="Arial" w:cs="Arial"/>
          <w:sz w:val="20"/>
          <w:szCs w:val="20"/>
        </w:rPr>
        <w:t>, (2016) [DOI: doi:10.1074/jbc.M115.700427]</w:t>
      </w:r>
      <w:bookmarkStart w:id="0" w:name="_GoBack"/>
      <w:bookmarkEnd w:id="0"/>
    </w:p>
    <w:p w14:paraId="7DED3B3C"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11065866" w14:textId="77777777" w:rsidR="007B274B" w:rsidRPr="00A35641" w:rsidRDefault="0061661F" w:rsidP="006C6B37">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0D4D17B9A54EF24587E923E31D132116"/>
          </w:placeholder>
          <w:temporary/>
          <w:showingPlcHdr/>
        </w:sdtPr>
        <w:sdtEndPr/>
        <w:sdtContent>
          <w:r w:rsidR="0021623B" w:rsidRPr="00BF0079">
            <w:rPr>
              <w:rFonts w:ascii="Arial" w:eastAsia="Times New Roman" w:hAnsi="Arial" w:cs="Arial"/>
              <w:color w:val="363636"/>
              <w:sz w:val="20"/>
              <w:szCs w:val="20"/>
              <w:highlight w:val="yellow"/>
            </w:rPr>
            <w:t>[include optional related links, one per line]</w:t>
          </w:r>
        </w:sdtContent>
      </w:sdt>
      <w:r w:rsidR="007B274B" w:rsidRPr="007B274B">
        <w:rPr>
          <w:rFonts w:ascii="Arial" w:eastAsia="Times New Roman" w:hAnsi="Arial" w:cs="Arial"/>
          <w:color w:val="363636"/>
          <w:sz w:val="20"/>
          <w:szCs w:val="20"/>
        </w:rPr>
        <w:t xml:space="preserve"> </w:t>
      </w:r>
    </w:p>
    <w:p w14:paraId="3B79EE3D" w14:textId="77777777" w:rsidR="0026738D" w:rsidRDefault="0026738D" w:rsidP="00A35641">
      <w:pPr>
        <w:spacing w:after="120"/>
      </w:pPr>
    </w:p>
    <w:p w14:paraId="4FB561F1"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C7B34D6" w14:textId="77777777" w:rsidR="00175E67" w:rsidRDefault="00175E67" w:rsidP="0026738D">
      <w:pPr>
        <w:spacing w:after="120"/>
      </w:pPr>
      <w:r w:rsidRPr="00175E67">
        <w:t>[</w:t>
      </w:r>
      <w:r>
        <w:t>Yes or No</w:t>
      </w:r>
      <w:r w:rsidRPr="00175E67">
        <w:t>]</w:t>
      </w:r>
    </w:p>
    <w:p w14:paraId="77BCEB6F" w14:textId="77777777" w:rsidR="008C0CBD" w:rsidRDefault="008C0CBD" w:rsidP="008C0CBD">
      <w:pPr>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7D34" w14:textId="77777777" w:rsidR="0061661F" w:rsidRDefault="0061661F" w:rsidP="000B4810">
      <w:pPr>
        <w:spacing w:after="0" w:line="240" w:lineRule="auto"/>
      </w:pPr>
      <w:r>
        <w:separator/>
      </w:r>
    </w:p>
  </w:endnote>
  <w:endnote w:type="continuationSeparator" w:id="0">
    <w:p w14:paraId="7419CBB0" w14:textId="77777777" w:rsidR="0061661F" w:rsidRDefault="0061661F"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8A98F" w14:textId="77777777" w:rsidR="0061661F" w:rsidRDefault="0061661F" w:rsidP="000B4810">
      <w:pPr>
        <w:spacing w:after="0" w:line="240" w:lineRule="auto"/>
      </w:pPr>
      <w:r>
        <w:separator/>
      </w:r>
    </w:p>
  </w:footnote>
  <w:footnote w:type="continuationSeparator" w:id="0">
    <w:p w14:paraId="0B18ADD8" w14:textId="77777777" w:rsidR="0061661F" w:rsidRDefault="0061661F"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19432427" w14:textId="77777777" w:rsidR="005A3AA6" w:rsidRPr="00245C9E" w:rsidRDefault="005A3AA6"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3FCEADCE" w14:textId="77777777" w:rsidR="005A3AA6" w:rsidRPr="004F42BF" w:rsidRDefault="005A3AA6" w:rsidP="004F42BF">
    <w:pPr>
      <w:pStyle w:val="Header"/>
      <w:shd w:val="clear" w:color="auto" w:fill="004285"/>
      <w:jc w:val="center"/>
      <w:rPr>
        <w:color w:val="FFFFFF" w:themeColor="background1"/>
        <w:sz w:val="20"/>
      </w:rPr>
    </w:pPr>
    <w:r w:rsidRPr="00245C9E">
      <w:rPr>
        <w:color w:val="FFFFFF" w:themeColor="background1"/>
        <w:sz w:val="20"/>
      </w:rPr>
      <w:t>SC-</w:t>
    </w:r>
    <w:r>
      <w:rPr>
        <w:color w:val="FFFFFF" w:themeColor="background1"/>
        <w:sz w:val="20"/>
      </w:rPr>
      <w:t>23 Nov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15D92"/>
    <w:rsid w:val="00046418"/>
    <w:rsid w:val="00047DF9"/>
    <w:rsid w:val="00067764"/>
    <w:rsid w:val="000B4810"/>
    <w:rsid w:val="000B484E"/>
    <w:rsid w:val="000C0BC5"/>
    <w:rsid w:val="000D498A"/>
    <w:rsid w:val="000E1A1B"/>
    <w:rsid w:val="000F6F58"/>
    <w:rsid w:val="0011329C"/>
    <w:rsid w:val="001428C1"/>
    <w:rsid w:val="00157E56"/>
    <w:rsid w:val="001658A3"/>
    <w:rsid w:val="00175E67"/>
    <w:rsid w:val="00192A66"/>
    <w:rsid w:val="001A2698"/>
    <w:rsid w:val="001A2CBE"/>
    <w:rsid w:val="001A746A"/>
    <w:rsid w:val="001D66F0"/>
    <w:rsid w:val="001F5864"/>
    <w:rsid w:val="00211CC7"/>
    <w:rsid w:val="0021623B"/>
    <w:rsid w:val="00233DC8"/>
    <w:rsid w:val="00247EA0"/>
    <w:rsid w:val="0025497A"/>
    <w:rsid w:val="00257E2C"/>
    <w:rsid w:val="0026738D"/>
    <w:rsid w:val="00290B1F"/>
    <w:rsid w:val="002A7287"/>
    <w:rsid w:val="002A79E7"/>
    <w:rsid w:val="002C40C6"/>
    <w:rsid w:val="002D5D75"/>
    <w:rsid w:val="002E42A2"/>
    <w:rsid w:val="002F4910"/>
    <w:rsid w:val="002F5B5E"/>
    <w:rsid w:val="003224CD"/>
    <w:rsid w:val="00337F48"/>
    <w:rsid w:val="00352F4A"/>
    <w:rsid w:val="00355F66"/>
    <w:rsid w:val="00383BB6"/>
    <w:rsid w:val="003A0B20"/>
    <w:rsid w:val="00402C8A"/>
    <w:rsid w:val="0042647A"/>
    <w:rsid w:val="0047291F"/>
    <w:rsid w:val="00476C43"/>
    <w:rsid w:val="004919C4"/>
    <w:rsid w:val="004A6269"/>
    <w:rsid w:val="004B0B77"/>
    <w:rsid w:val="004C2BD8"/>
    <w:rsid w:val="004F42BF"/>
    <w:rsid w:val="00500309"/>
    <w:rsid w:val="00500BB6"/>
    <w:rsid w:val="005105F5"/>
    <w:rsid w:val="005248D2"/>
    <w:rsid w:val="005332DD"/>
    <w:rsid w:val="00535DFF"/>
    <w:rsid w:val="00554BD1"/>
    <w:rsid w:val="00562AD0"/>
    <w:rsid w:val="00571E7D"/>
    <w:rsid w:val="005819FC"/>
    <w:rsid w:val="00585456"/>
    <w:rsid w:val="00593254"/>
    <w:rsid w:val="005977F0"/>
    <w:rsid w:val="005A3AA6"/>
    <w:rsid w:val="005C4E24"/>
    <w:rsid w:val="005E2DC4"/>
    <w:rsid w:val="005E748C"/>
    <w:rsid w:val="005F564A"/>
    <w:rsid w:val="005F7FC7"/>
    <w:rsid w:val="0061661F"/>
    <w:rsid w:val="0062442A"/>
    <w:rsid w:val="00636AC8"/>
    <w:rsid w:val="00636FEB"/>
    <w:rsid w:val="00640391"/>
    <w:rsid w:val="0064473C"/>
    <w:rsid w:val="00646449"/>
    <w:rsid w:val="00646A02"/>
    <w:rsid w:val="006542B3"/>
    <w:rsid w:val="00660631"/>
    <w:rsid w:val="00665232"/>
    <w:rsid w:val="0067240D"/>
    <w:rsid w:val="00673449"/>
    <w:rsid w:val="0068372E"/>
    <w:rsid w:val="006C6B37"/>
    <w:rsid w:val="006C7C12"/>
    <w:rsid w:val="006D4699"/>
    <w:rsid w:val="006E0823"/>
    <w:rsid w:val="006E12E9"/>
    <w:rsid w:val="006F7D7C"/>
    <w:rsid w:val="00711982"/>
    <w:rsid w:val="00716D69"/>
    <w:rsid w:val="00721BF0"/>
    <w:rsid w:val="00733489"/>
    <w:rsid w:val="007432D1"/>
    <w:rsid w:val="00745A65"/>
    <w:rsid w:val="0074746D"/>
    <w:rsid w:val="007613CC"/>
    <w:rsid w:val="0078735F"/>
    <w:rsid w:val="00793A58"/>
    <w:rsid w:val="007A61C0"/>
    <w:rsid w:val="007B274B"/>
    <w:rsid w:val="007B4A35"/>
    <w:rsid w:val="007B53AA"/>
    <w:rsid w:val="007C1100"/>
    <w:rsid w:val="007C2943"/>
    <w:rsid w:val="007C52C5"/>
    <w:rsid w:val="007D5911"/>
    <w:rsid w:val="007F2A8A"/>
    <w:rsid w:val="00801572"/>
    <w:rsid w:val="0082296E"/>
    <w:rsid w:val="00825983"/>
    <w:rsid w:val="00826949"/>
    <w:rsid w:val="00843576"/>
    <w:rsid w:val="008508EC"/>
    <w:rsid w:val="00850A3D"/>
    <w:rsid w:val="00854ECB"/>
    <w:rsid w:val="00873AC2"/>
    <w:rsid w:val="00874C5E"/>
    <w:rsid w:val="0087701D"/>
    <w:rsid w:val="00883B26"/>
    <w:rsid w:val="008B7C10"/>
    <w:rsid w:val="008C0CBD"/>
    <w:rsid w:val="008C23B0"/>
    <w:rsid w:val="008D156E"/>
    <w:rsid w:val="008D4B8D"/>
    <w:rsid w:val="008E6D5B"/>
    <w:rsid w:val="00902C20"/>
    <w:rsid w:val="00904EEB"/>
    <w:rsid w:val="00985676"/>
    <w:rsid w:val="00996F03"/>
    <w:rsid w:val="009A590B"/>
    <w:rsid w:val="009A66FB"/>
    <w:rsid w:val="009D581F"/>
    <w:rsid w:val="009D766D"/>
    <w:rsid w:val="009F61EB"/>
    <w:rsid w:val="00A11F18"/>
    <w:rsid w:val="00A35641"/>
    <w:rsid w:val="00A5359A"/>
    <w:rsid w:val="00AE7790"/>
    <w:rsid w:val="00B054FD"/>
    <w:rsid w:val="00B05B6A"/>
    <w:rsid w:val="00B06536"/>
    <w:rsid w:val="00B217FC"/>
    <w:rsid w:val="00B41B01"/>
    <w:rsid w:val="00B53DF7"/>
    <w:rsid w:val="00B55CCD"/>
    <w:rsid w:val="00B62030"/>
    <w:rsid w:val="00B81046"/>
    <w:rsid w:val="00BB7E2C"/>
    <w:rsid w:val="00BD2EE7"/>
    <w:rsid w:val="00BD4E92"/>
    <w:rsid w:val="00BD7CF6"/>
    <w:rsid w:val="00BE7F5F"/>
    <w:rsid w:val="00BF0079"/>
    <w:rsid w:val="00C02CCD"/>
    <w:rsid w:val="00C32F99"/>
    <w:rsid w:val="00C34380"/>
    <w:rsid w:val="00C3462D"/>
    <w:rsid w:val="00C525E6"/>
    <w:rsid w:val="00C57577"/>
    <w:rsid w:val="00C702C6"/>
    <w:rsid w:val="00C70D4B"/>
    <w:rsid w:val="00C71A3B"/>
    <w:rsid w:val="00C93BC1"/>
    <w:rsid w:val="00CA28EF"/>
    <w:rsid w:val="00CA72ED"/>
    <w:rsid w:val="00CB4C43"/>
    <w:rsid w:val="00CD34FC"/>
    <w:rsid w:val="00D21AC2"/>
    <w:rsid w:val="00D3194B"/>
    <w:rsid w:val="00D32F0A"/>
    <w:rsid w:val="00D36E52"/>
    <w:rsid w:val="00D4231E"/>
    <w:rsid w:val="00D43043"/>
    <w:rsid w:val="00D6358C"/>
    <w:rsid w:val="00D644E2"/>
    <w:rsid w:val="00D724A8"/>
    <w:rsid w:val="00D912A1"/>
    <w:rsid w:val="00DB6B14"/>
    <w:rsid w:val="00DF251B"/>
    <w:rsid w:val="00DF6F3F"/>
    <w:rsid w:val="00E02D4F"/>
    <w:rsid w:val="00E0430B"/>
    <w:rsid w:val="00E0604F"/>
    <w:rsid w:val="00E14966"/>
    <w:rsid w:val="00E31609"/>
    <w:rsid w:val="00E4011F"/>
    <w:rsid w:val="00E54DF0"/>
    <w:rsid w:val="00E667B6"/>
    <w:rsid w:val="00E777FB"/>
    <w:rsid w:val="00E94218"/>
    <w:rsid w:val="00EA0F01"/>
    <w:rsid w:val="00ED6ABF"/>
    <w:rsid w:val="00EE05AE"/>
    <w:rsid w:val="00EE4DB6"/>
    <w:rsid w:val="00F01731"/>
    <w:rsid w:val="00F51661"/>
    <w:rsid w:val="00F7597A"/>
    <w:rsid w:val="00F76793"/>
    <w:rsid w:val="00F775A3"/>
    <w:rsid w:val="00F87013"/>
    <w:rsid w:val="00F9462B"/>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mailto:georgep@rice.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D4D17B9A54EF24587E923E31D132116"/>
        <w:category>
          <w:name w:val="General"/>
          <w:gallery w:val="placeholder"/>
        </w:category>
        <w:types>
          <w:type w:val="bbPlcHdr"/>
        </w:types>
        <w:behaviors>
          <w:behavior w:val="content"/>
        </w:behaviors>
        <w:guid w:val="{4757FD84-787F-024C-821B-E1E74E3F2FEF}"/>
      </w:docPartPr>
      <w:docPartBody>
        <w:p w:rsidR="00270A1D" w:rsidRDefault="00893CCF">
          <w:pPr>
            <w:pStyle w:val="0D4D17B9A54EF24587E923E31D132116"/>
          </w:pPr>
          <w:r>
            <w:rPr>
              <w:rFonts w:ascii="Arial" w:eastAsia="Times New Roman" w:hAnsi="Arial" w:cs="Arial"/>
              <w:color w:val="363636"/>
              <w:sz w:val="20"/>
              <w:szCs w:val="20"/>
            </w:rPr>
            <w:t>[include optional related links, one per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1D1958"/>
    <w:rsid w:val="00270A1D"/>
    <w:rsid w:val="007D2A24"/>
    <w:rsid w:val="00823539"/>
    <w:rsid w:val="00893CCF"/>
    <w:rsid w:val="00A7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2E738"/>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HUBDOC-169-520</_dlc_DocId>
    <_dlc_DocIdUrl xmlns="f66da2ca-f37c-4205-929f-e8e9af1907d3">
      <Url>https://intranet.wei.wisc.edu/glbrc/doe/_layouts/15/DocIdRedir.aspx?ID=HUBDOC-169-520</Url>
      <Description>HUBDOC-169-520</Description>
    </_dlc_DocIdUrl>
  </documentManagement>
</p:properties>
</file>

<file path=customXml/itemProps1.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2.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3.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1</TotalTime>
  <Pages>2</Pages>
  <Words>637</Words>
  <Characters>3636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2</cp:revision>
  <dcterms:created xsi:type="dcterms:W3CDTF">2016-03-04T19:50:00Z</dcterms:created>
  <dcterms:modified xsi:type="dcterms:W3CDTF">2016-03-04T19:50:00Z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309f0fef-a3ff-4abb-b8dd-d745b302f24e</vt:lpwstr>
  </property>
  <property fmtid="{D5CDD505-2E9C-101B-9397-08002B2CF9AE}" pid="4" name="TaxKeyword">
    <vt:lpwstr/>
  </property>
</Properties>
</file>