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6AC35" w14:textId="77777777" w:rsidR="0098299F" w:rsidRPr="0089781E" w:rsidRDefault="0098299F" w:rsidP="0098299F">
      <w:pPr>
        <w:rPr>
          <w:rFonts w:asciiTheme="minorHAnsi" w:eastAsiaTheme="minorHAnsi" w:hAnsiTheme="minorHAnsi" w:cs="AdvOTb65e897d.B"/>
          <w:sz w:val="19"/>
          <w:szCs w:val="19"/>
        </w:rPr>
      </w:pPr>
    </w:p>
    <w:p w14:paraId="4CEA7F08" w14:textId="77777777" w:rsidR="004D3CD7" w:rsidRPr="006011E3" w:rsidRDefault="004D3CD7" w:rsidP="004D3CD7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Calibri" w:eastAsiaTheme="minorHAnsi" w:hAnsi="Calibri"/>
          <w:b/>
          <w:szCs w:val="22"/>
        </w:rPr>
      </w:pPr>
      <w:r w:rsidRPr="006011E3">
        <w:rPr>
          <w:rFonts w:ascii="Calibri" w:eastAsiaTheme="minorHAnsi" w:hAnsi="Calibri"/>
          <w:b/>
          <w:szCs w:val="22"/>
        </w:rPr>
        <w:t>Perennial Biofuel Crops Use Water at Levels Similar to Corn</w:t>
      </w:r>
    </w:p>
    <w:p w14:paraId="4CD7E26F" w14:textId="77777777" w:rsidR="004D3CD7" w:rsidRDefault="004D3CD7" w:rsidP="004D3CD7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/>
          <w:sz w:val="20"/>
          <w:szCs w:val="20"/>
        </w:rPr>
      </w:pPr>
    </w:p>
    <w:p w14:paraId="28488184" w14:textId="22BF6CA6" w:rsidR="004D3CD7" w:rsidRPr="006011E3" w:rsidRDefault="004D3CD7" w:rsidP="004D3CD7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Calibri" w:eastAsiaTheme="minorHAnsi" w:hAnsi="Calibri"/>
          <w:color w:val="000000"/>
          <w:szCs w:val="22"/>
        </w:rPr>
      </w:pPr>
      <w:r w:rsidRPr="004D3CD7">
        <w:rPr>
          <w:rFonts w:ascii="Calibri" w:eastAsiaTheme="minorHAnsi" w:hAnsi="Calibri"/>
          <w:color w:val="000000"/>
          <w:szCs w:val="22"/>
        </w:rPr>
        <w:t>The prospect of converting large tracts of the Midwest’s marginal farming land to perennial biofuel crops carries with it some key unknowns, including how such a change could affect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Pr="004D3CD7">
        <w:rPr>
          <w:rFonts w:ascii="Calibri" w:eastAsiaTheme="minorHAnsi" w:hAnsi="Calibri"/>
          <w:color w:val="000000"/>
          <w:szCs w:val="22"/>
        </w:rPr>
        <w:t>the balance of water between rainfall inputs, evaporation losses, and movement of soil water to the groundwater. In humid climates such as the U.S. Midwest, evaporation returns more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Pr="004D3CD7">
        <w:rPr>
          <w:rFonts w:ascii="Calibri" w:eastAsiaTheme="minorHAnsi" w:hAnsi="Calibri"/>
          <w:color w:val="000000"/>
          <w:szCs w:val="22"/>
        </w:rPr>
        <w:t xml:space="preserve">than half of the annual precipitation to the atmosphere, with the remainder </w:t>
      </w:r>
      <w:r w:rsidRPr="006011E3">
        <w:rPr>
          <w:rFonts w:ascii="Calibri" w:eastAsiaTheme="minorHAnsi" w:hAnsi="Calibri"/>
          <w:szCs w:val="22"/>
        </w:rPr>
        <w:t>available to recharge groundwater and maintain stream flow and lake levels.</w:t>
      </w:r>
      <w:r w:rsidR="006011E3" w:rsidRPr="006011E3">
        <w:rPr>
          <w:rFonts w:ascii="Calibri" w:eastAsiaTheme="minorHAnsi" w:hAnsi="Calibri"/>
          <w:szCs w:val="22"/>
        </w:rPr>
        <w:t xml:space="preserve"> </w:t>
      </w:r>
      <w:r w:rsidRPr="006011E3">
        <w:rPr>
          <w:rFonts w:ascii="Calibri" w:eastAsiaTheme="minorHAnsi" w:hAnsi="Calibri"/>
          <w:szCs w:val="22"/>
        </w:rPr>
        <w:t>To begin addressing that unknown, a recent study from the</w:t>
      </w:r>
      <w:r w:rsidRPr="004D3CD7">
        <w:rPr>
          <w:rFonts w:ascii="Calibri" w:eastAsiaTheme="minorHAnsi" w:hAnsi="Calibri"/>
          <w:color w:val="000000"/>
          <w:szCs w:val="22"/>
        </w:rPr>
        <w:t xml:space="preserve"> Great L</w:t>
      </w:r>
      <w:r w:rsidR="00587081">
        <w:rPr>
          <w:rFonts w:ascii="Calibri" w:eastAsiaTheme="minorHAnsi" w:hAnsi="Calibri"/>
          <w:color w:val="000000"/>
          <w:szCs w:val="22"/>
        </w:rPr>
        <w:t xml:space="preserve">akes Bioenergy Research Center </w:t>
      </w:r>
      <w:r w:rsidRPr="004D3CD7">
        <w:rPr>
          <w:rFonts w:ascii="Calibri" w:eastAsiaTheme="minorHAnsi" w:hAnsi="Calibri"/>
          <w:color w:val="000000"/>
          <w:szCs w:val="22"/>
        </w:rPr>
        <w:t>looks at how efficiently “second generation” biofuel crops—perennial,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Pr="004D3CD7">
        <w:rPr>
          <w:rFonts w:ascii="Calibri" w:eastAsiaTheme="minorHAnsi" w:hAnsi="Calibri"/>
          <w:color w:val="000000"/>
          <w:szCs w:val="22"/>
        </w:rPr>
        <w:t xml:space="preserve">non-food crops such as </w:t>
      </w:r>
      <w:proofErr w:type="spellStart"/>
      <w:r w:rsidRPr="004D3CD7">
        <w:rPr>
          <w:rFonts w:ascii="Calibri" w:eastAsiaTheme="minorHAnsi" w:hAnsi="Calibri"/>
          <w:color w:val="000000"/>
          <w:szCs w:val="22"/>
        </w:rPr>
        <w:t>switchgrass</w:t>
      </w:r>
      <w:proofErr w:type="spellEnd"/>
      <w:r w:rsidRPr="004D3CD7">
        <w:rPr>
          <w:rFonts w:ascii="Calibri" w:eastAsiaTheme="minorHAnsi" w:hAnsi="Calibri"/>
          <w:color w:val="000000"/>
          <w:szCs w:val="22"/>
        </w:rPr>
        <w:t xml:space="preserve"> or native grasslands—use rainwater and how these crops affect overall water balance.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Pr="004D3CD7">
        <w:rPr>
          <w:rFonts w:ascii="Calibri" w:eastAsiaTheme="minorHAnsi" w:hAnsi="Calibri"/>
          <w:color w:val="000000"/>
          <w:szCs w:val="22"/>
        </w:rPr>
        <w:t>The study is the first multi-year effort to compare the water use of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Pr="004D3CD7">
        <w:rPr>
          <w:rFonts w:ascii="Calibri" w:eastAsiaTheme="minorHAnsi" w:hAnsi="Calibri"/>
          <w:color w:val="000000"/>
          <w:szCs w:val="22"/>
        </w:rPr>
        <w:t xml:space="preserve">conventional corn crops to the perennial cropping systems of </w:t>
      </w:r>
      <w:proofErr w:type="spellStart"/>
      <w:r w:rsidRPr="004D3CD7">
        <w:rPr>
          <w:rFonts w:ascii="Calibri" w:eastAsiaTheme="minorHAnsi" w:hAnsi="Calibri"/>
          <w:color w:val="000000"/>
          <w:szCs w:val="22"/>
        </w:rPr>
        <w:t>switchgrass</w:t>
      </w:r>
      <w:proofErr w:type="spellEnd"/>
      <w:r w:rsidRPr="004D3CD7">
        <w:rPr>
          <w:rFonts w:ascii="Calibri" w:eastAsiaTheme="minorHAnsi" w:hAnsi="Calibri"/>
          <w:color w:val="000000"/>
          <w:szCs w:val="22"/>
        </w:rPr>
        <w:t xml:space="preserve">, </w:t>
      </w:r>
      <w:proofErr w:type="spellStart"/>
      <w:r w:rsidRPr="004D3CD7">
        <w:rPr>
          <w:rFonts w:ascii="Calibri" w:eastAsiaTheme="minorHAnsi" w:hAnsi="Calibri"/>
          <w:color w:val="000000"/>
          <w:szCs w:val="22"/>
        </w:rPr>
        <w:t>miscanthus</w:t>
      </w:r>
      <w:proofErr w:type="spellEnd"/>
      <w:r w:rsidRPr="004D3CD7">
        <w:rPr>
          <w:rFonts w:ascii="Calibri" w:eastAsiaTheme="minorHAnsi" w:hAnsi="Calibri"/>
          <w:color w:val="000000"/>
          <w:szCs w:val="22"/>
        </w:rPr>
        <w:t>, native grasses, restored prairies, and hybrid poplar trees.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="00587081">
        <w:rPr>
          <w:rFonts w:ascii="Calibri" w:eastAsiaTheme="minorHAnsi" w:hAnsi="Calibri"/>
          <w:color w:val="000000"/>
          <w:szCs w:val="22"/>
        </w:rPr>
        <w:t xml:space="preserve">Researchers used </w:t>
      </w:r>
      <w:r w:rsidRPr="004D3CD7">
        <w:rPr>
          <w:rFonts w:ascii="Calibri" w:eastAsiaTheme="minorHAnsi" w:hAnsi="Calibri"/>
          <w:szCs w:val="22"/>
        </w:rPr>
        <w:t>soil-water sensors to measure the rate of evapotranspiration occurring within each cropping system</w:t>
      </w:r>
      <w:r w:rsidR="00587081">
        <w:rPr>
          <w:rFonts w:ascii="Calibri" w:eastAsiaTheme="minorHAnsi" w:hAnsi="Calibri"/>
          <w:szCs w:val="22"/>
        </w:rPr>
        <w:t xml:space="preserve"> </w:t>
      </w:r>
      <w:r w:rsidR="0023519A">
        <w:rPr>
          <w:rFonts w:ascii="Calibri" w:eastAsiaTheme="minorHAnsi" w:hAnsi="Calibri"/>
          <w:szCs w:val="22"/>
        </w:rPr>
        <w:t>over</w:t>
      </w:r>
      <w:r w:rsidR="00587081">
        <w:rPr>
          <w:rFonts w:ascii="Calibri" w:eastAsiaTheme="minorHAnsi" w:hAnsi="Calibri"/>
          <w:szCs w:val="22"/>
        </w:rPr>
        <w:t xml:space="preserve"> the last</w:t>
      </w:r>
      <w:r w:rsidR="0023519A">
        <w:rPr>
          <w:rFonts w:ascii="Calibri" w:eastAsiaTheme="minorHAnsi" w:hAnsi="Calibri"/>
          <w:szCs w:val="22"/>
        </w:rPr>
        <w:t xml:space="preserve"> few</w:t>
      </w:r>
      <w:r w:rsidR="00587081">
        <w:rPr>
          <w:rFonts w:ascii="Calibri" w:eastAsiaTheme="minorHAnsi" w:hAnsi="Calibri"/>
          <w:szCs w:val="22"/>
        </w:rPr>
        <w:t xml:space="preserve"> years</w:t>
      </w:r>
      <w:r w:rsidRPr="004D3CD7">
        <w:rPr>
          <w:rFonts w:ascii="Calibri" w:eastAsiaTheme="minorHAnsi" w:hAnsi="Calibri"/>
          <w:szCs w:val="22"/>
        </w:rPr>
        <w:t>. Evapotranspiration refers to the sum total of water lost while the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Pr="004D3CD7">
        <w:rPr>
          <w:rFonts w:ascii="Calibri" w:eastAsiaTheme="minorHAnsi" w:hAnsi="Calibri"/>
          <w:szCs w:val="22"/>
        </w:rPr>
        <w:t xml:space="preserve">plant is </w:t>
      </w:r>
      <w:proofErr w:type="gramStart"/>
      <w:r w:rsidRPr="004D3CD7">
        <w:rPr>
          <w:rFonts w:ascii="Calibri" w:eastAsiaTheme="minorHAnsi" w:hAnsi="Calibri"/>
          <w:szCs w:val="22"/>
        </w:rPr>
        <w:t>growing,</w:t>
      </w:r>
      <w:proofErr w:type="gramEnd"/>
      <w:r w:rsidRPr="004D3CD7">
        <w:rPr>
          <w:rFonts w:ascii="Calibri" w:eastAsiaTheme="minorHAnsi" w:hAnsi="Calibri"/>
          <w:szCs w:val="22"/>
        </w:rPr>
        <w:t xml:space="preserve"> either from evaporatio</w:t>
      </w:r>
      <w:r w:rsidR="003E0DB6">
        <w:rPr>
          <w:rFonts w:ascii="Calibri" w:eastAsiaTheme="minorHAnsi" w:hAnsi="Calibri"/>
          <w:szCs w:val="22"/>
        </w:rPr>
        <w:t xml:space="preserve">n through the plant stem itself </w:t>
      </w:r>
      <w:r w:rsidRPr="004D3CD7">
        <w:rPr>
          <w:rFonts w:ascii="Calibri" w:eastAsiaTheme="minorHAnsi" w:hAnsi="Calibri"/>
          <w:szCs w:val="22"/>
        </w:rPr>
        <w:t>or from water evaporated off of the plant’s leaves or the ground. By measuring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Pr="004D3CD7">
        <w:rPr>
          <w:rFonts w:ascii="Calibri" w:eastAsiaTheme="minorHAnsi" w:hAnsi="Calibri"/>
          <w:szCs w:val="22"/>
        </w:rPr>
        <w:t>the amount of precipitation that has fallen against actual soil water content, it’s possible to quantify the water lost to evapotranspiration while each crop is growing.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Pr="004D3CD7">
        <w:rPr>
          <w:rFonts w:ascii="Calibri" w:eastAsiaTheme="minorHAnsi" w:hAnsi="Calibri"/>
          <w:szCs w:val="22"/>
        </w:rPr>
        <w:t xml:space="preserve">In a finding that contrasts sharply with earlier modeling studies that found particularly high perennial water use in areas with high water tables, the group reports that </w:t>
      </w:r>
      <w:r>
        <w:rPr>
          <w:rFonts w:ascii="Calibri" w:eastAsiaTheme="minorHAnsi" w:hAnsi="Calibri"/>
          <w:szCs w:val="22"/>
        </w:rPr>
        <w:t>the</w:t>
      </w:r>
      <w:r w:rsidRPr="004D3CD7">
        <w:rPr>
          <w:rFonts w:ascii="Calibri" w:eastAsiaTheme="minorHAnsi" w:hAnsi="Calibri"/>
          <w:szCs w:val="22"/>
        </w:rPr>
        <w:t xml:space="preserve"> evapotranspiration </w:t>
      </w:r>
      <w:r>
        <w:rPr>
          <w:rFonts w:ascii="Calibri" w:eastAsiaTheme="minorHAnsi" w:hAnsi="Calibri"/>
          <w:szCs w:val="22"/>
        </w:rPr>
        <w:t xml:space="preserve">from the perennial cropping systems </w:t>
      </w:r>
      <w:r w:rsidRPr="004D3CD7">
        <w:rPr>
          <w:rFonts w:ascii="Calibri" w:eastAsiaTheme="minorHAnsi" w:hAnsi="Calibri"/>
          <w:szCs w:val="22"/>
        </w:rPr>
        <w:t>did not differ greatly from corn</w:t>
      </w:r>
      <w:r w:rsidR="003E0DB6">
        <w:rPr>
          <w:rFonts w:ascii="Calibri" w:eastAsiaTheme="minorHAnsi" w:hAnsi="Calibri"/>
          <w:szCs w:val="22"/>
        </w:rPr>
        <w:t xml:space="preserve">, suggesting that in many settings, </w:t>
      </w:r>
      <w:r w:rsidRPr="004D3CD7">
        <w:rPr>
          <w:rFonts w:ascii="Calibri" w:eastAsiaTheme="minorHAnsi" w:hAnsi="Calibri"/>
          <w:szCs w:val="22"/>
        </w:rPr>
        <w:t>perennials may not use more water. For well drained soils in the upper Midwest at least, and probably for eastern North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Pr="004D3CD7">
        <w:rPr>
          <w:rFonts w:ascii="Calibri" w:eastAsiaTheme="minorHAnsi" w:hAnsi="Calibri"/>
          <w:szCs w:val="22"/>
        </w:rPr>
        <w:t>America in general, these results most likely apply, and water balance would not be adversely affected</w:t>
      </w:r>
      <w:r w:rsidR="003E0DB6">
        <w:rPr>
          <w:rFonts w:ascii="Calibri" w:eastAsiaTheme="minorHAnsi" w:hAnsi="Calibri"/>
          <w:szCs w:val="22"/>
        </w:rPr>
        <w:t>. Researchers</w:t>
      </w:r>
      <w:r w:rsidRPr="004D3CD7">
        <w:rPr>
          <w:rFonts w:ascii="Calibri" w:eastAsiaTheme="minorHAnsi" w:hAnsi="Calibri"/>
          <w:szCs w:val="22"/>
        </w:rPr>
        <w:t xml:space="preserve"> also measured the water use efficiency (WUE) of each crop, calculating which plants grew the most biomass with the least amount of evapotranspiration.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proofErr w:type="spellStart"/>
      <w:r w:rsidRPr="004D3CD7">
        <w:rPr>
          <w:rFonts w:ascii="Calibri" w:eastAsiaTheme="minorHAnsi" w:hAnsi="Calibri"/>
          <w:szCs w:val="22"/>
        </w:rPr>
        <w:t>Miscanthus</w:t>
      </w:r>
      <w:proofErr w:type="spellEnd"/>
      <w:r w:rsidRPr="004D3CD7">
        <w:rPr>
          <w:rFonts w:ascii="Calibri" w:eastAsiaTheme="minorHAnsi" w:hAnsi="Calibri"/>
          <w:szCs w:val="22"/>
        </w:rPr>
        <w:t xml:space="preserve"> had the highest WUE, then corn, followed by poplar, native grasses, and prairie.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Pr="004D3CD7">
        <w:rPr>
          <w:rFonts w:ascii="Calibri" w:eastAsiaTheme="minorHAnsi" w:hAnsi="Calibri"/>
          <w:szCs w:val="22"/>
        </w:rPr>
        <w:t>Since the evapotranspiration rates of the study’s cropping systems held steady across several years of varying precipitation levels, the study also suggests that</w:t>
      </w:r>
      <w:r>
        <w:rPr>
          <w:rFonts w:ascii="Calibri" w:eastAsiaTheme="minorHAnsi" w:hAnsi="Calibri"/>
          <w:szCs w:val="22"/>
        </w:rPr>
        <w:t xml:space="preserve"> grassland</w:t>
      </w:r>
      <w:r w:rsidRPr="004D3CD7">
        <w:rPr>
          <w:rFonts w:ascii="Calibri" w:eastAsiaTheme="minorHAnsi" w:hAnsi="Calibri"/>
          <w:szCs w:val="22"/>
        </w:rPr>
        <w:t xml:space="preserve"> evapotranspiration</w:t>
      </w:r>
      <w:r w:rsidR="006011E3">
        <w:rPr>
          <w:rFonts w:ascii="Calibri" w:eastAsiaTheme="minorHAnsi" w:hAnsi="Calibri"/>
          <w:color w:val="000000"/>
          <w:szCs w:val="22"/>
        </w:rPr>
        <w:t xml:space="preserve"> </w:t>
      </w:r>
      <w:r w:rsidRPr="004D3CD7">
        <w:rPr>
          <w:rFonts w:ascii="Calibri" w:eastAsiaTheme="minorHAnsi" w:hAnsi="Calibri"/>
          <w:szCs w:val="22"/>
        </w:rPr>
        <w:t xml:space="preserve">rates may not be as sensitive to climate change as is currently </w:t>
      </w:r>
      <w:bookmarkStart w:id="0" w:name="_GoBack"/>
      <w:r w:rsidRPr="004D3CD7">
        <w:rPr>
          <w:rFonts w:ascii="Calibri" w:eastAsiaTheme="minorHAnsi" w:hAnsi="Calibri"/>
          <w:szCs w:val="22"/>
        </w:rPr>
        <w:t>assum</w:t>
      </w:r>
      <w:bookmarkEnd w:id="0"/>
      <w:r w:rsidRPr="004D3CD7">
        <w:rPr>
          <w:rFonts w:ascii="Calibri" w:eastAsiaTheme="minorHAnsi" w:hAnsi="Calibri"/>
          <w:szCs w:val="22"/>
        </w:rPr>
        <w:t>ed.</w:t>
      </w:r>
    </w:p>
    <w:p w14:paraId="28BAD95F" w14:textId="77777777" w:rsidR="006011E3" w:rsidRDefault="008119FF" w:rsidP="006011E3">
      <w:pPr>
        <w:rPr>
          <w:rFonts w:ascii="Calibri" w:hAnsi="Calibri"/>
          <w:szCs w:val="22"/>
        </w:rPr>
      </w:pPr>
      <w:r w:rsidRPr="00D96CAB">
        <w:rPr>
          <w:rFonts w:ascii="Calibri" w:hAnsi="Calibri"/>
          <w:b/>
          <w:szCs w:val="22"/>
        </w:rPr>
        <w:t>References:</w:t>
      </w:r>
      <w:r w:rsidR="004D3CD7">
        <w:rPr>
          <w:rFonts w:ascii="Calibri" w:hAnsi="Calibri"/>
          <w:szCs w:val="22"/>
        </w:rPr>
        <w:t xml:space="preserve"> </w:t>
      </w:r>
      <w:r w:rsidR="004D3CD7" w:rsidRPr="004D3CD7">
        <w:rPr>
          <w:rFonts w:ascii="Calibri" w:hAnsi="Calibri"/>
          <w:szCs w:val="22"/>
        </w:rPr>
        <w:t xml:space="preserve">Hamilton, S.K. et. </w:t>
      </w:r>
      <w:proofErr w:type="gramStart"/>
      <w:r w:rsidR="004D3CD7" w:rsidRPr="004D3CD7">
        <w:rPr>
          <w:rFonts w:ascii="Calibri" w:hAnsi="Calibri"/>
          <w:szCs w:val="22"/>
        </w:rPr>
        <w:t>al</w:t>
      </w:r>
      <w:proofErr w:type="gramEnd"/>
      <w:r w:rsidR="004D3CD7" w:rsidRPr="004D3CD7">
        <w:rPr>
          <w:rFonts w:ascii="Calibri" w:hAnsi="Calibri"/>
          <w:szCs w:val="22"/>
        </w:rPr>
        <w:t>. 2015</w:t>
      </w:r>
      <w:r w:rsidR="004D3CD7" w:rsidRPr="004D3CD7">
        <w:rPr>
          <w:rFonts w:ascii="Calibri" w:hAnsi="Calibri"/>
          <w:i/>
          <w:iCs/>
          <w:szCs w:val="22"/>
        </w:rPr>
        <w:t xml:space="preserve">. Comparative water use by maize, perennial crops, restored prairie, and poplar trees in the US Midwest. </w:t>
      </w:r>
      <w:r w:rsidR="004D3CD7" w:rsidRPr="004D3CD7">
        <w:rPr>
          <w:rFonts w:ascii="Calibri" w:hAnsi="Calibri"/>
          <w:b/>
          <w:bCs/>
          <w:szCs w:val="22"/>
        </w:rPr>
        <w:t>Environmental Research Letters</w:t>
      </w:r>
      <w:r w:rsidR="004D3CD7" w:rsidRPr="004D3CD7">
        <w:rPr>
          <w:rFonts w:ascii="Calibri" w:hAnsi="Calibri"/>
          <w:szCs w:val="22"/>
        </w:rPr>
        <w:t>, </w:t>
      </w:r>
      <w:proofErr w:type="spellStart"/>
      <w:r w:rsidR="004D3CD7" w:rsidRPr="004D3CD7">
        <w:rPr>
          <w:rFonts w:ascii="Calibri" w:hAnsi="Calibri"/>
          <w:szCs w:val="22"/>
        </w:rPr>
        <w:t>doi</w:t>
      </w:r>
      <w:proofErr w:type="spellEnd"/>
      <w:r w:rsidR="004D3CD7" w:rsidRPr="004D3CD7">
        <w:rPr>
          <w:rFonts w:ascii="Calibri" w:hAnsi="Calibri"/>
          <w:szCs w:val="22"/>
        </w:rPr>
        <w:t>: 10.1088/1748-9326/10/6/064015.</w:t>
      </w:r>
    </w:p>
    <w:p w14:paraId="67B44900" w14:textId="2331D22D" w:rsidR="008119FF" w:rsidRPr="006011E3" w:rsidRDefault="008119FF" w:rsidP="006011E3">
      <w:pPr>
        <w:rPr>
          <w:rFonts w:ascii="Calibri" w:hAnsi="Calibri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sectPr w:rsidR="008119FF" w:rsidRPr="00601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6FC5"/>
    <w:multiLevelType w:val="hybridMultilevel"/>
    <w:tmpl w:val="562EBBA4"/>
    <w:lvl w:ilvl="0" w:tplc="07BAEC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5099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04E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E97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C8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CDF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633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23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21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1F0E2A"/>
    <w:rsid w:val="0023519A"/>
    <w:rsid w:val="003E0DB6"/>
    <w:rsid w:val="00452D45"/>
    <w:rsid w:val="004D3CD7"/>
    <w:rsid w:val="00587081"/>
    <w:rsid w:val="005D236C"/>
    <w:rsid w:val="006011E3"/>
    <w:rsid w:val="007171E7"/>
    <w:rsid w:val="007937DE"/>
    <w:rsid w:val="008119FF"/>
    <w:rsid w:val="0089781E"/>
    <w:rsid w:val="0094060E"/>
    <w:rsid w:val="00971C08"/>
    <w:rsid w:val="0098299F"/>
    <w:rsid w:val="009B2FA0"/>
    <w:rsid w:val="00A75563"/>
    <w:rsid w:val="00B10E68"/>
    <w:rsid w:val="00B16899"/>
    <w:rsid w:val="00B6334B"/>
    <w:rsid w:val="00CC5EF2"/>
    <w:rsid w:val="00D6104B"/>
    <w:rsid w:val="00D72081"/>
    <w:rsid w:val="00D96CAB"/>
    <w:rsid w:val="00E3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E9D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1E7"/>
    <w:rPr>
      <w:rFonts w:ascii="Times" w:eastAsiaTheme="minorHAns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452D45"/>
    <w:pPr>
      <w:spacing w:before="0" w:beforeAutospacing="0" w:after="0" w:afterAutospacing="0"/>
      <w:ind w:left="720"/>
      <w:contextualSpacing/>
    </w:pPr>
    <w:rPr>
      <w:rFonts w:ascii="Times" w:eastAsiaTheme="minorHAnsi" w:hAnsi="Times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1E7"/>
    <w:rPr>
      <w:rFonts w:ascii="Times" w:eastAsiaTheme="minorHAns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452D45"/>
    <w:pPr>
      <w:spacing w:before="0" w:beforeAutospacing="0" w:after="0" w:afterAutospacing="0"/>
      <w:ind w:left="720"/>
      <w:contextualSpacing/>
    </w:pPr>
    <w:rPr>
      <w:rFonts w:ascii="Times" w:eastAsiaTheme="minorHAnsi" w:hAnsi="Time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HUBDOC-169-491</_dlc_DocId>
    <_dlc_DocIdUrl xmlns="f66da2ca-f37c-4205-929f-e8e9af1907d3">
      <Url>https://intranet.wei.wisc.edu/glbrc/doe/_layouts/15/DocIdRedir.aspx?ID=HUBDOC-169-491</Url>
      <Description>HUBDOC-169-491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8CADAD-DFFF-478E-B5A0-573C8976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Kent Peters</dc:creator>
  <cp:lastModifiedBy>Matt Wisniewski</cp:lastModifiedBy>
  <cp:revision>2</cp:revision>
  <dcterms:created xsi:type="dcterms:W3CDTF">2015-07-16T15:27:00Z</dcterms:created>
  <dcterms:modified xsi:type="dcterms:W3CDTF">2015-07-16T15:27:00Z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1d922014-a239-4e76-9bdb-354243fb64af</vt:lpwstr>
  </property>
  <property fmtid="{D5CDD505-2E9C-101B-9397-08002B2CF9AE}" pid="4" name="TaxKeyword">
    <vt:lpwstr/>
  </property>
</Properties>
</file>