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49EF1" w14:textId="2744E013" w:rsidR="007B274B" w:rsidRPr="007B274B" w:rsidRDefault="00AB0818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11</w:t>
      </w:r>
      <w:r>
        <w:rPr>
          <w:rFonts w:ascii="Arial" w:eastAsia="Times New Roman" w:hAnsi="Arial" w:cs="Arial"/>
          <w:color w:val="7F7F7F"/>
          <w:sz w:val="20"/>
        </w:rPr>
        <w:t xml:space="preserve"> </w:t>
      </w:r>
      <w:r w:rsidR="004770EA">
        <w:rPr>
          <w:rFonts w:ascii="Arial" w:eastAsia="Times New Roman" w:hAnsi="Arial" w:cs="Arial"/>
          <w:color w:val="7F7F7F"/>
          <w:sz w:val="20"/>
        </w:rPr>
        <w:t>February</w:t>
      </w:r>
      <w:bookmarkStart w:id="0" w:name="_GoBack"/>
      <w:bookmarkEnd w:id="0"/>
      <w:r>
        <w:rPr>
          <w:rFonts w:ascii="Arial" w:eastAsia="Times New Roman" w:hAnsi="Arial" w:cs="Arial"/>
          <w:color w:val="7F7F7F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6C9B9BA741CB7643A4FCF8F8CA5307DB"/>
          </w:placeholder>
        </w:sdtPr>
        <w:sdtEndPr/>
        <w:sdtContent>
          <w:r w:rsidR="00B13D56">
            <w:rPr>
              <w:rFonts w:ascii="Arial" w:eastAsia="Times New Roman" w:hAnsi="Arial" w:cs="Arial"/>
              <w:color w:val="7F7F7F"/>
              <w:sz w:val="20"/>
            </w:rPr>
            <w:t>2019</w:t>
          </w:r>
        </w:sdtContent>
      </w:sdt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4B325812" w14:textId="6A3B1C58" w:rsidR="007B274B" w:rsidRPr="007B274B" w:rsidRDefault="00B13D56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Environmental </w:t>
      </w:r>
      <w:r w:rsidR="004770EA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f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actors and their </w:t>
      </w:r>
      <w:r w:rsidR="004770EA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e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ffect on </w:t>
      </w:r>
      <w:r w:rsidR="004770EA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s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oil </w:t>
      </w:r>
      <w:r w:rsidR="004770EA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n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itrous </w:t>
      </w:r>
      <w:r w:rsidR="004770EA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o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xide </w:t>
      </w:r>
      <w:r w:rsidR="004770EA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f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luxes in </w:t>
      </w:r>
      <w:r w:rsidR="004770EA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b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ioenergy </w:t>
      </w:r>
      <w:r w:rsidR="004770EA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c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rops</w:t>
      </w:r>
    </w:p>
    <w:p w14:paraId="6569802E" w14:textId="77AF1227" w:rsidR="007B274B" w:rsidRPr="007B274B" w:rsidRDefault="009A7553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Efforts to reduce concentrations of NO</w:t>
      </w:r>
      <w:r w:rsidRPr="009A7553">
        <w:rPr>
          <w:rFonts w:ascii="Arial" w:eastAsia="Times New Roman" w:hAnsi="Arial" w:cs="Arial"/>
          <w:color w:val="989898"/>
          <w:sz w:val="30"/>
          <w:szCs w:val="30"/>
          <w:vertAlign w:val="subscript"/>
        </w:rPr>
        <w:t>3</w:t>
      </w:r>
      <w:r w:rsidRPr="009A7553">
        <w:rPr>
          <w:rFonts w:ascii="Arial" w:eastAsia="Times New Roman" w:hAnsi="Arial" w:cs="Arial"/>
          <w:color w:val="989898"/>
          <w:sz w:val="30"/>
          <w:szCs w:val="30"/>
          <w:vertAlign w:val="superscript"/>
        </w:rPr>
        <w:t>-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in the soil may be effective at reducing “hot moments” of N</w:t>
      </w:r>
      <w:r w:rsidRPr="009A7553">
        <w:rPr>
          <w:rFonts w:ascii="Arial" w:eastAsia="Times New Roman" w:hAnsi="Arial" w:cs="Arial"/>
          <w:color w:val="989898"/>
          <w:sz w:val="30"/>
          <w:szCs w:val="30"/>
          <w:vertAlign w:val="subscript"/>
        </w:rPr>
        <w:t>2</w:t>
      </w:r>
      <w:r>
        <w:rPr>
          <w:rFonts w:ascii="Arial" w:eastAsia="Times New Roman" w:hAnsi="Arial" w:cs="Arial"/>
          <w:color w:val="989898"/>
          <w:sz w:val="30"/>
          <w:szCs w:val="30"/>
        </w:rPr>
        <w:t>O production.</w:t>
      </w:r>
    </w:p>
    <w:p w14:paraId="1B675628" w14:textId="77777777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6660F028" w14:textId="062A498B" w:rsidR="007B274B" w:rsidRPr="00AB0818" w:rsidRDefault="009A7553" w:rsidP="0082694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Nitrous oxide (N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2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O) is a potent greenhouse gas and major component </w:t>
      </w:r>
      <w:r w:rsidR="00A81661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of the net global warming potential of bioenergy crops. Numerous environmental factors influence soil N</w:t>
      </w:r>
      <w:r w:rsidR="00A81661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2</w:t>
      </w:r>
      <w:r w:rsidR="00A81661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O production, making direct correlation difficult to any one factor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81661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under field conditions. </w:t>
      </w:r>
    </w:p>
    <w:p w14:paraId="3F33E988" w14:textId="2AE35CDE" w:rsidR="00A45B26" w:rsidRPr="007B274B" w:rsidRDefault="00A45B26" w:rsidP="00A45B26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The </w:t>
      </w: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Impact</w:t>
      </w: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4592CB91" w14:textId="24037D0D" w:rsidR="00A45B26" w:rsidRPr="00AB0818" w:rsidRDefault="00A45B26" w:rsidP="00A45B2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Conceptualizing N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2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O production in terms of hot moments</w:t>
      </w:r>
      <w:r w:rsidR="00B8439F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="00D717D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 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short </w:t>
      </w:r>
      <w:r w:rsidR="004D3975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periods of high intensity 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2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 </w:t>
      </w:r>
      <w:r w:rsidR="00B8439F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gas 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ef</w:t>
      </w:r>
      <w:r w:rsidR="00872D42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flux</w:t>
      </w:r>
      <w:r w:rsidR="00B8439F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D717D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 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environmental constraints </w:t>
      </w:r>
      <w:r w:rsidR="00D717D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model 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provides a useful framework for identifying areas for reducing both the magnitude and variability of N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2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O production.</w:t>
      </w:r>
      <w:r w:rsidR="00B8439F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Understanding 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how various environmental factors interact with </w:t>
      </w:r>
      <w:r w:rsidR="00CE7971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="00CE7971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2</w:t>
      </w:r>
      <w:r w:rsidR="00CE7971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 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production levels could lead to </w:t>
      </w:r>
      <w:r w:rsidR="00B8439F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improved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B8439F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cropping system 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management.</w:t>
      </w:r>
    </w:p>
    <w:p w14:paraId="01D21C0D" w14:textId="0B03CA5F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5B233975" w14:textId="6DF7AE44" w:rsidR="00863F26" w:rsidRPr="007B274B" w:rsidRDefault="00A45B26" w:rsidP="00AB0818">
      <w:pPr>
        <w:shd w:val="clear" w:color="auto" w:fill="FFFFFF"/>
        <w:rPr>
          <w:rFonts w:ascii="Arial" w:eastAsia="Times New Roman" w:hAnsi="Arial" w:cs="Arial"/>
          <w:color w:val="363636"/>
          <w:sz w:val="20"/>
          <w:szCs w:val="20"/>
        </w:rPr>
      </w:pP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To understand the factors that influence soil N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2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O production in bioenergy crops under field conditions, researchers at the GLBRC employed quantile regression to evaluate the effects of soil temperature, water-filled pore space</w:t>
      </w:r>
      <w:r w:rsidR="00CE7971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(WFPS)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, and</w:t>
      </w:r>
      <w:r w:rsidR="00CE7971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concentrations of soil nitrate </w:t>
      </w:r>
      <w:r w:rsidR="00CE7971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(NO</w:t>
      </w:r>
      <w:r w:rsidR="00CE7971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3</w:t>
      </w:r>
      <w:r w:rsidR="00CE7971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 xml:space="preserve">-) 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and ammonium </w:t>
      </w:r>
      <w:r w:rsidR="00CE7971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(NH</w:t>
      </w:r>
      <w:r w:rsidR="00CE7971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4</w:t>
      </w:r>
      <w:r w:rsidR="00CE7971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+</w:t>
      </w:r>
      <w:r w:rsidR="00CE7971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) 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on the upper bounds of soil N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2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 fluxes. 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ata 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was 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collected over </w:t>
      </w:r>
      <w:r w:rsidR="00F90A7D">
        <w:rPr>
          <w:rFonts w:ascii="Arial" w:eastAsia="Times New Roman" w:hAnsi="Arial" w:cs="Arial"/>
          <w:color w:val="000000" w:themeColor="text1"/>
          <w:sz w:val="20"/>
          <w:szCs w:val="20"/>
        </w:rPr>
        <w:t>six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years from a range of bioenergy crops including no-till grain crops, perennial warm-season grasses, hybrid poplar, and polycultures of tallgrass prairie species each grown 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with and without fertilizer addition 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at </w:t>
      </w:r>
      <w:r w:rsidR="00D717D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two </w:t>
      </w:r>
      <w:r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sites in the Midwest (Michigan and Wisconsin).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Results indicate managing 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NO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3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-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the soil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, which</w:t>
      </w:r>
      <w:r w:rsidR="004D3975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is 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accomplished </w:t>
      </w:r>
      <w:r w:rsidR="004D3975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more easily 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than managing WFPS or soil temperature, 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may be particularly effective at minimizing the impact of hot moments when other factors are highly conducive to denitrification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Land managers are unlikely to forego nitrogen fertilization altogether, but there may be alternative means to reduce NO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3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-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concentrations</w:t>
      </w:r>
      <w:r w:rsidR="00872D42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such as the use of enhanced efficiency fertilizers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which 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promote a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gradual release of NO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3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-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over time</w:t>
      </w:r>
      <w:r w:rsidR="00872D42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. A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dditionally, increasing the diversity and </w:t>
      </w:r>
      <w:proofErr w:type="spellStart"/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perenniality</w:t>
      </w:r>
      <w:proofErr w:type="spellEnd"/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crops </w:t>
      </w:r>
      <w:r w:rsidR="00D26023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has been shown to 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reduce the amount of available NO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3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-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NH</w:t>
      </w:r>
      <w:r w:rsidR="000B60F6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4</w:t>
      </w:r>
      <w:r w:rsidR="00BA3B68" w:rsidRPr="00AB0818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+</w:t>
      </w:r>
      <w:r w:rsidR="004D3975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72D42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>which would likely constrain</w:t>
      </w:r>
      <w:r w:rsidR="004D3975" w:rsidRPr="00AB08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magnitude of fluxes that could occur even with optimal temperature and moisture.</w:t>
      </w:r>
    </w:p>
    <w:p w14:paraId="098424AD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</w:t>
      </w:r>
      <w:r w:rsidRPr="00AB0818">
        <w:rPr>
          <w:rFonts w:ascii="Arial" w:eastAsia="Times New Roman" w:hAnsi="Arial" w:cs="Arial"/>
          <w:b/>
          <w:bCs/>
          <w:color w:val="686868"/>
          <w:sz w:val="25"/>
          <w:szCs w:val="25"/>
        </w:rPr>
        <w:t>a</w:t>
      </w: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2D7FAFD4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48217986" w14:textId="77777777" w:rsidR="00AB0818" w:rsidRDefault="00AB0818" w:rsidP="006C6B37">
      <w:pPr>
        <w:spacing w:after="180" w:line="285" w:lineRule="atLeast"/>
        <w:rPr>
          <w:rFonts w:ascii="Arial" w:eastAsia="Times New Roman" w:hAnsi="Arial" w:cs="Arial"/>
          <w:b/>
          <w:color w:val="686868"/>
          <w:sz w:val="25"/>
          <w:szCs w:val="25"/>
        </w:rPr>
      </w:pPr>
    </w:p>
    <w:p w14:paraId="16892D96" w14:textId="626E9A47" w:rsidR="009A66FB" w:rsidRPr="00AB0818" w:rsidRDefault="009A66FB" w:rsidP="006C6B37">
      <w:pPr>
        <w:spacing w:after="180" w:line="285" w:lineRule="atLeast"/>
        <w:rPr>
          <w:rFonts w:ascii="Arial" w:eastAsia="Times New Roman" w:hAnsi="Arial" w:cs="Arial"/>
          <w:b/>
          <w:color w:val="686868"/>
          <w:sz w:val="25"/>
          <w:szCs w:val="25"/>
        </w:rPr>
      </w:pPr>
      <w:r w:rsidRPr="00AB0818">
        <w:rPr>
          <w:rFonts w:ascii="Arial" w:eastAsia="Times New Roman" w:hAnsi="Arial" w:cs="Arial"/>
          <w:b/>
          <w:color w:val="686868"/>
          <w:sz w:val="25"/>
          <w:szCs w:val="25"/>
        </w:rPr>
        <w:t>(PI Contact)</w:t>
      </w:r>
    </w:p>
    <w:p w14:paraId="27A6979B" w14:textId="344ED189" w:rsidR="009A66FB" w:rsidRDefault="000B60F6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Randall D. Jackson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Wisconsin-Madison</w:t>
          </w:r>
        </w:sdtContent>
      </w:sdt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r>
        <w:rPr>
          <w:rFonts w:ascii="Arial" w:eastAsia="Times New Roman" w:hAnsi="Arial" w:cs="Arial"/>
          <w:color w:val="363636"/>
          <w:sz w:val="20"/>
          <w:szCs w:val="20"/>
        </w:rPr>
        <w:t>rdjackson@wisc.edu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7AC66A2" w14:textId="77777777" w:rsidR="00AB0818" w:rsidRDefault="00AB0818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</w:p>
    <w:p w14:paraId="3D12CD0E" w14:textId="473FDA74" w:rsidR="007B274B" w:rsidRPr="007B274B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Funding</w:t>
      </w:r>
    </w:p>
    <w:p w14:paraId="15517153" w14:textId="77FA5E07" w:rsidR="007B274B" w:rsidRPr="00AB0818" w:rsidRDefault="000B60F6" w:rsidP="000B60F6">
      <w:pPr>
        <w:rPr>
          <w:rFonts w:ascii="Arial" w:eastAsia="Times New Roman" w:hAnsi="Arial" w:cs="Arial"/>
          <w:sz w:val="20"/>
          <w:szCs w:val="20"/>
        </w:rPr>
      </w:pPr>
      <w:r w:rsidRPr="00AB0818">
        <w:rPr>
          <w:rFonts w:ascii="Arial" w:eastAsia="Times New Roman" w:hAnsi="Arial" w:cs="Arial"/>
          <w:sz w:val="20"/>
          <w:szCs w:val="20"/>
        </w:rPr>
        <w:t>Funding was provided by the DOE Great Lakes Bioenergy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Research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Center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(DOE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BER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Office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of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Science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DE</w:t>
      </w:r>
      <w:r w:rsidRPr="00AB0818">
        <w:rPr>
          <w:rFonts w:ascii="Cambria Math" w:eastAsia="Calibri" w:hAnsi="Cambria Math" w:cs="Cambria Math"/>
          <w:sz w:val="20"/>
          <w:szCs w:val="20"/>
        </w:rPr>
        <w:t>‐</w:t>
      </w:r>
      <w:r w:rsidRPr="00AB0818">
        <w:rPr>
          <w:rFonts w:ascii="Arial" w:eastAsia="Times New Roman" w:hAnsi="Arial" w:cs="Arial"/>
          <w:sz w:val="20"/>
          <w:szCs w:val="20"/>
        </w:rPr>
        <w:t>FC02</w:t>
      </w:r>
      <w:r w:rsidRPr="00AB0818">
        <w:rPr>
          <w:rFonts w:ascii="Cambria Math" w:eastAsia="Calibri" w:hAnsi="Cambria Math" w:cs="Cambria Math"/>
          <w:sz w:val="20"/>
          <w:szCs w:val="20"/>
        </w:rPr>
        <w:t>‐</w:t>
      </w:r>
      <w:r w:rsidRPr="00AB0818">
        <w:rPr>
          <w:rFonts w:ascii="Arial" w:eastAsia="Times New Roman" w:hAnsi="Arial" w:cs="Arial"/>
          <w:sz w:val="20"/>
          <w:szCs w:val="20"/>
        </w:rPr>
        <w:t>07ER64494) and the DOE OBP Office of Energy Efficiency and Renewable Energy (DE</w:t>
      </w:r>
      <w:r w:rsidRPr="00AB0818">
        <w:rPr>
          <w:rFonts w:ascii="Cambria Math" w:eastAsia="Calibri" w:hAnsi="Cambria Math" w:cs="Cambria Math"/>
          <w:sz w:val="20"/>
          <w:szCs w:val="20"/>
        </w:rPr>
        <w:t>‐</w:t>
      </w:r>
      <w:r w:rsidRPr="00AB0818">
        <w:rPr>
          <w:rFonts w:ascii="Arial" w:eastAsia="Times New Roman" w:hAnsi="Arial" w:cs="Arial"/>
          <w:sz w:val="20"/>
          <w:szCs w:val="20"/>
        </w:rPr>
        <w:t>AC05</w:t>
      </w:r>
      <w:r w:rsidRPr="00AB0818">
        <w:rPr>
          <w:rFonts w:ascii="Cambria Math" w:eastAsia="Calibri" w:hAnsi="Cambria Math" w:cs="Cambria Math"/>
          <w:sz w:val="20"/>
          <w:szCs w:val="20"/>
        </w:rPr>
        <w:t>‐</w:t>
      </w:r>
      <w:r w:rsidRPr="00AB0818">
        <w:rPr>
          <w:rFonts w:ascii="Arial" w:eastAsia="Times New Roman" w:hAnsi="Arial" w:cs="Arial"/>
          <w:sz w:val="20"/>
          <w:szCs w:val="20"/>
        </w:rPr>
        <w:t>76RL01830), the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NSF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LTER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Program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(DEB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1027253),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>and</w:t>
      </w:r>
      <w:r w:rsidR="00090DBA">
        <w:rPr>
          <w:rFonts w:ascii="Arial" w:eastAsia="Times New Roman" w:hAnsi="Arial" w:cs="Arial"/>
          <w:sz w:val="20"/>
          <w:szCs w:val="20"/>
        </w:rPr>
        <w:t xml:space="preserve"> </w:t>
      </w:r>
      <w:r w:rsidRPr="00AB0818">
        <w:rPr>
          <w:rFonts w:ascii="Arial" w:eastAsia="Times New Roman" w:hAnsi="Arial" w:cs="Arial"/>
          <w:sz w:val="20"/>
          <w:szCs w:val="20"/>
        </w:rPr>
        <w:t xml:space="preserve">Michigan </w:t>
      </w:r>
      <w:proofErr w:type="spellStart"/>
      <w:r w:rsidRPr="00AB0818">
        <w:rPr>
          <w:rFonts w:ascii="Arial" w:eastAsia="Times New Roman" w:hAnsi="Arial" w:cs="Arial"/>
          <w:sz w:val="20"/>
          <w:szCs w:val="20"/>
        </w:rPr>
        <w:t>AgBioResearch</w:t>
      </w:r>
      <w:proofErr w:type="spellEnd"/>
      <w:r w:rsidRPr="00AB0818">
        <w:rPr>
          <w:rFonts w:ascii="Arial" w:eastAsia="Times New Roman" w:hAnsi="Arial" w:cs="Arial"/>
          <w:sz w:val="20"/>
          <w:szCs w:val="20"/>
        </w:rPr>
        <w:t>.</w:t>
      </w:r>
    </w:p>
    <w:p w14:paraId="70752B75" w14:textId="77777777" w:rsid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5AE30DE7" w14:textId="67E85A06" w:rsidR="00CB4C43" w:rsidRPr="00AB0818" w:rsidRDefault="00415350" w:rsidP="000B60F6">
      <w:pPr>
        <w:rPr>
          <w:rFonts w:ascii="Arial" w:eastAsia="Times New Roman" w:hAnsi="Arial" w:cs="Arial"/>
          <w:sz w:val="20"/>
        </w:rPr>
      </w:pPr>
      <w:r w:rsidRPr="00AB0818">
        <w:rPr>
          <w:rFonts w:ascii="Arial" w:eastAsia="Times New Roman" w:hAnsi="Arial" w:cs="Arial"/>
          <w:sz w:val="20"/>
        </w:rPr>
        <w:t>D.</w:t>
      </w:r>
      <w:r w:rsidR="00052561" w:rsidRPr="00AB0818">
        <w:rPr>
          <w:rFonts w:ascii="Arial" w:eastAsia="Times New Roman" w:hAnsi="Arial" w:cs="Arial"/>
          <w:sz w:val="20"/>
        </w:rPr>
        <w:t xml:space="preserve"> </w:t>
      </w:r>
      <w:r w:rsidRPr="00AB0818">
        <w:rPr>
          <w:rFonts w:ascii="Arial" w:eastAsia="Times New Roman" w:hAnsi="Arial" w:cs="Arial"/>
          <w:sz w:val="20"/>
        </w:rPr>
        <w:t xml:space="preserve">Duncan, </w:t>
      </w:r>
      <w:r w:rsidR="00052561" w:rsidRPr="00AB0818">
        <w:rPr>
          <w:rFonts w:ascii="Arial" w:eastAsia="Times New Roman" w:hAnsi="Arial" w:cs="Arial"/>
          <w:sz w:val="20"/>
        </w:rPr>
        <w:t>et al.</w:t>
      </w:r>
      <w:r w:rsidRPr="00AB0818">
        <w:rPr>
          <w:rFonts w:ascii="Arial" w:eastAsia="Times New Roman" w:hAnsi="Arial" w:cs="Arial"/>
          <w:sz w:val="20"/>
        </w:rPr>
        <w:t xml:space="preserve">, </w:t>
      </w:r>
      <w:r w:rsidR="00052561" w:rsidRPr="00AB0818">
        <w:rPr>
          <w:rFonts w:ascii="Arial" w:eastAsia="Times New Roman" w:hAnsi="Arial" w:cs="Arial"/>
          <w:sz w:val="20"/>
        </w:rPr>
        <w:t>“Environmental factors function as constraints on soil nitrous oxide fluxes in bioen</w:t>
      </w:r>
      <w:r w:rsidRPr="00AB0818">
        <w:rPr>
          <w:rFonts w:ascii="Arial" w:eastAsia="Times New Roman" w:hAnsi="Arial" w:cs="Arial"/>
          <w:sz w:val="20"/>
        </w:rPr>
        <w:t>ergy feedstock cropping systems</w:t>
      </w:r>
      <w:r w:rsidR="00052561" w:rsidRPr="00AB0818">
        <w:rPr>
          <w:rFonts w:ascii="Arial" w:eastAsia="Times New Roman" w:hAnsi="Arial" w:cs="Arial"/>
          <w:sz w:val="20"/>
        </w:rPr>
        <w:t>.</w:t>
      </w:r>
      <w:r w:rsidRPr="00AB0818">
        <w:rPr>
          <w:rFonts w:ascii="Arial" w:eastAsia="Times New Roman" w:hAnsi="Arial" w:cs="Arial"/>
          <w:sz w:val="20"/>
        </w:rPr>
        <w:t>”</w:t>
      </w:r>
      <w:r w:rsidR="00052561" w:rsidRPr="00AB0818">
        <w:rPr>
          <w:rFonts w:ascii="Arial" w:eastAsia="Times New Roman" w:hAnsi="Arial" w:cs="Arial"/>
          <w:sz w:val="20"/>
        </w:rPr>
        <w:t xml:space="preserve"> </w:t>
      </w:r>
      <w:r w:rsidR="00052561" w:rsidRPr="00AB0818">
        <w:rPr>
          <w:rFonts w:ascii="Arial" w:eastAsia="Times New Roman" w:hAnsi="Arial" w:cs="Arial"/>
          <w:i/>
          <w:sz w:val="20"/>
        </w:rPr>
        <w:t>GBC Bioenergy</w:t>
      </w:r>
      <w:r w:rsidR="00052561" w:rsidRPr="00AB0818">
        <w:rPr>
          <w:rFonts w:ascii="Arial" w:eastAsia="Times New Roman" w:hAnsi="Arial" w:cs="Arial"/>
          <w:sz w:val="20"/>
        </w:rPr>
        <w:t>.</w:t>
      </w:r>
      <w:r w:rsidRPr="00AB0818">
        <w:rPr>
          <w:rFonts w:ascii="Arial" w:eastAsia="Times New Roman" w:hAnsi="Arial" w:cs="Arial"/>
          <w:sz w:val="20"/>
        </w:rPr>
        <w:t xml:space="preserve"> (2018)</w:t>
      </w:r>
      <w:r w:rsidR="00052561" w:rsidRPr="00AB0818">
        <w:rPr>
          <w:rFonts w:ascii="Arial" w:eastAsia="Times New Roman" w:hAnsi="Arial" w:cs="Arial"/>
          <w:sz w:val="20"/>
        </w:rPr>
        <w:t xml:space="preserve"> </w:t>
      </w:r>
      <w:r w:rsidRPr="00AB0818">
        <w:rPr>
          <w:rFonts w:ascii="Arial" w:eastAsia="Times New Roman" w:hAnsi="Arial" w:cs="Arial"/>
          <w:sz w:val="20"/>
        </w:rPr>
        <w:t>[</w:t>
      </w:r>
      <w:r w:rsidR="00052561" w:rsidRPr="00AB0818">
        <w:rPr>
          <w:rFonts w:ascii="Arial" w:eastAsia="Times New Roman" w:hAnsi="Arial" w:cs="Arial"/>
          <w:sz w:val="20"/>
        </w:rPr>
        <w:t>DOI: 10.1111/gcbb.12572</w:t>
      </w:r>
      <w:r w:rsidRPr="00AB0818">
        <w:rPr>
          <w:rFonts w:ascii="Arial" w:eastAsia="Times New Roman" w:hAnsi="Arial" w:cs="Arial"/>
          <w:sz w:val="20"/>
        </w:rPr>
        <w:t>]</w:t>
      </w:r>
    </w:p>
    <w:p w14:paraId="539938A0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5A3D05DA" w14:textId="77777777" w:rsidR="0014784A" w:rsidRDefault="002414B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2414BD">
        <w:rPr>
          <w:rFonts w:ascii="Arial" w:eastAsia="Times New Roman" w:hAnsi="Arial" w:cs="Arial"/>
          <w:color w:val="363636"/>
          <w:sz w:val="20"/>
          <w:szCs w:val="20"/>
        </w:rPr>
        <w:t>https://onlinelibrary.wiley.com/doi/10.1111/gcbb.12572</w:t>
      </w:r>
    </w:p>
    <w:p w14:paraId="381E2692" w14:textId="611CE457" w:rsidR="007B274B" w:rsidRPr="00A35641" w:rsidRDefault="0014784A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14784A">
        <w:rPr>
          <w:rFonts w:ascii="Arial" w:eastAsia="Times New Roman" w:hAnsi="Arial" w:cs="Arial"/>
          <w:color w:val="363636"/>
          <w:sz w:val="20"/>
          <w:szCs w:val="20"/>
        </w:rPr>
        <w:t>https://www.glbrc.org/research/highlights/environmental-factors-and-their-effect-soil-nitrous-oxide-fluxes-bioenergy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7BA7DB6" w14:textId="77777777" w:rsidR="0026738D" w:rsidRDefault="0026738D" w:rsidP="00A35641">
      <w:pPr>
        <w:spacing w:after="120"/>
      </w:pPr>
    </w:p>
    <w:p w14:paraId="4875A4AE" w14:textId="77777777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643B80E6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6D2C1AC0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A76D8" w14:textId="77777777" w:rsidR="00374DE1" w:rsidRDefault="00374DE1" w:rsidP="000B4810">
      <w:pPr>
        <w:spacing w:after="0" w:line="240" w:lineRule="auto"/>
      </w:pPr>
      <w:r>
        <w:separator/>
      </w:r>
    </w:p>
  </w:endnote>
  <w:endnote w:type="continuationSeparator" w:id="0">
    <w:p w14:paraId="702A769B" w14:textId="77777777" w:rsidR="00374DE1" w:rsidRDefault="00374DE1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12C44" w14:textId="77777777" w:rsidR="00374DE1" w:rsidRDefault="00374DE1" w:rsidP="000B4810">
      <w:pPr>
        <w:spacing w:after="0" w:line="240" w:lineRule="auto"/>
      </w:pPr>
      <w:r>
        <w:separator/>
      </w:r>
    </w:p>
  </w:footnote>
  <w:footnote w:type="continuationSeparator" w:id="0">
    <w:p w14:paraId="1EC5BF89" w14:textId="77777777" w:rsidR="00374DE1" w:rsidRDefault="00374DE1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50BD676C" w14:textId="77777777" w:rsidR="00211CC7" w:rsidRPr="00245C9E" w:rsidRDefault="001A2CBE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="00211CC7" w:rsidRPr="00245C9E">
          <w:rPr>
            <w:b/>
            <w:color w:val="FFFFFF" w:themeColor="background1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0D357D38" w14:textId="77777777" w:rsidR="00211CC7" w:rsidRPr="004F42BF" w:rsidRDefault="00211CC7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  <w:r w:rsidRPr="00245C9E">
      <w:rPr>
        <w:color w:val="FFFFFF" w:themeColor="background1"/>
        <w:sz w:val="20"/>
      </w:rPr>
      <w:t>SC-</w:t>
    </w:r>
    <w:r w:rsidR="001A2CBE">
      <w:rPr>
        <w:color w:val="FFFFFF" w:themeColor="background1"/>
        <w:sz w:val="20"/>
      </w:rPr>
      <w:t>23 Nov</w:t>
    </w:r>
    <w:r w:rsidR="00EE4DB6">
      <w:rPr>
        <w:color w:val="FFFFFF" w:themeColor="background1"/>
        <w:sz w:val="20"/>
      </w:rPr>
      <w:t xml:space="preserve"> 201</w:t>
    </w:r>
    <w:r w:rsidR="00247EA0">
      <w:rPr>
        <w:color w:val="FFFFFF" w:themeColor="background1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692"/>
    <w:multiLevelType w:val="hybridMultilevel"/>
    <w:tmpl w:val="3DE2934C"/>
    <w:lvl w:ilvl="0" w:tplc="3724A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23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AB1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E16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C1A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6E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EB1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CAB6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6A1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A359A"/>
    <w:multiLevelType w:val="hybridMultilevel"/>
    <w:tmpl w:val="43186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C5E"/>
    <w:rsid w:val="00015CE8"/>
    <w:rsid w:val="00052561"/>
    <w:rsid w:val="00090DBA"/>
    <w:rsid w:val="000B4810"/>
    <w:rsid w:val="000B484E"/>
    <w:rsid w:val="000B60F6"/>
    <w:rsid w:val="000C0BC5"/>
    <w:rsid w:val="000D498A"/>
    <w:rsid w:val="000F6F58"/>
    <w:rsid w:val="0011329C"/>
    <w:rsid w:val="0014784A"/>
    <w:rsid w:val="001658A3"/>
    <w:rsid w:val="00175E67"/>
    <w:rsid w:val="00192A66"/>
    <w:rsid w:val="001A2CBE"/>
    <w:rsid w:val="001A746A"/>
    <w:rsid w:val="001D66F0"/>
    <w:rsid w:val="001F5864"/>
    <w:rsid w:val="00211CC7"/>
    <w:rsid w:val="0021623B"/>
    <w:rsid w:val="00233DC8"/>
    <w:rsid w:val="0023603A"/>
    <w:rsid w:val="002414BD"/>
    <w:rsid w:val="00247EA0"/>
    <w:rsid w:val="0025497A"/>
    <w:rsid w:val="00257E2C"/>
    <w:rsid w:val="0026738D"/>
    <w:rsid w:val="00290B1F"/>
    <w:rsid w:val="002A79E7"/>
    <w:rsid w:val="002D5D75"/>
    <w:rsid w:val="002E42A2"/>
    <w:rsid w:val="002F4910"/>
    <w:rsid w:val="002F5B5E"/>
    <w:rsid w:val="00337F48"/>
    <w:rsid w:val="00355F66"/>
    <w:rsid w:val="00374DE1"/>
    <w:rsid w:val="00383BB6"/>
    <w:rsid w:val="00414990"/>
    <w:rsid w:val="00415350"/>
    <w:rsid w:val="0042647A"/>
    <w:rsid w:val="004770EA"/>
    <w:rsid w:val="004919C4"/>
    <w:rsid w:val="004D3975"/>
    <w:rsid w:val="004F42BF"/>
    <w:rsid w:val="00500309"/>
    <w:rsid w:val="00500BB6"/>
    <w:rsid w:val="005332DD"/>
    <w:rsid w:val="00535DFF"/>
    <w:rsid w:val="0053757E"/>
    <w:rsid w:val="00571E7D"/>
    <w:rsid w:val="005819FC"/>
    <w:rsid w:val="00593254"/>
    <w:rsid w:val="005C4E24"/>
    <w:rsid w:val="005E2DC4"/>
    <w:rsid w:val="005F7FC7"/>
    <w:rsid w:val="0062442A"/>
    <w:rsid w:val="00636AC8"/>
    <w:rsid w:val="00636FEB"/>
    <w:rsid w:val="00646A02"/>
    <w:rsid w:val="006542B3"/>
    <w:rsid w:val="0065478D"/>
    <w:rsid w:val="00673449"/>
    <w:rsid w:val="0068372E"/>
    <w:rsid w:val="006C6B37"/>
    <w:rsid w:val="006D4699"/>
    <w:rsid w:val="006F7D7C"/>
    <w:rsid w:val="00711982"/>
    <w:rsid w:val="00716D69"/>
    <w:rsid w:val="00733489"/>
    <w:rsid w:val="007432D1"/>
    <w:rsid w:val="00745A65"/>
    <w:rsid w:val="0074746D"/>
    <w:rsid w:val="007613CC"/>
    <w:rsid w:val="007B274B"/>
    <w:rsid w:val="007B53AA"/>
    <w:rsid w:val="007C2943"/>
    <w:rsid w:val="007C52C5"/>
    <w:rsid w:val="007F18EB"/>
    <w:rsid w:val="00801572"/>
    <w:rsid w:val="0082296E"/>
    <w:rsid w:val="00825983"/>
    <w:rsid w:val="00826949"/>
    <w:rsid w:val="00843576"/>
    <w:rsid w:val="008508EC"/>
    <w:rsid w:val="00850A3D"/>
    <w:rsid w:val="00863F26"/>
    <w:rsid w:val="00872D42"/>
    <w:rsid w:val="00873AC2"/>
    <w:rsid w:val="00874C5E"/>
    <w:rsid w:val="008B7C10"/>
    <w:rsid w:val="008C0CBD"/>
    <w:rsid w:val="008C23B0"/>
    <w:rsid w:val="008D4B8D"/>
    <w:rsid w:val="008E0CF2"/>
    <w:rsid w:val="008E6D5B"/>
    <w:rsid w:val="00902C20"/>
    <w:rsid w:val="00966A2A"/>
    <w:rsid w:val="009855DF"/>
    <w:rsid w:val="00996F03"/>
    <w:rsid w:val="009A5B50"/>
    <w:rsid w:val="009A66FB"/>
    <w:rsid w:val="009A7553"/>
    <w:rsid w:val="009D581F"/>
    <w:rsid w:val="009D766D"/>
    <w:rsid w:val="009F61EB"/>
    <w:rsid w:val="00A11F18"/>
    <w:rsid w:val="00A35641"/>
    <w:rsid w:val="00A45B26"/>
    <w:rsid w:val="00A5359A"/>
    <w:rsid w:val="00A81661"/>
    <w:rsid w:val="00AB0818"/>
    <w:rsid w:val="00AE7790"/>
    <w:rsid w:val="00B13D56"/>
    <w:rsid w:val="00B217FC"/>
    <w:rsid w:val="00B41B01"/>
    <w:rsid w:val="00B62030"/>
    <w:rsid w:val="00B81046"/>
    <w:rsid w:val="00B8439F"/>
    <w:rsid w:val="00BA3B68"/>
    <w:rsid w:val="00BB7E2C"/>
    <w:rsid w:val="00BD2EE7"/>
    <w:rsid w:val="00BD4E92"/>
    <w:rsid w:val="00C02CCD"/>
    <w:rsid w:val="00C32F99"/>
    <w:rsid w:val="00C525E6"/>
    <w:rsid w:val="00C57577"/>
    <w:rsid w:val="00C702C6"/>
    <w:rsid w:val="00C93BC1"/>
    <w:rsid w:val="00CA72ED"/>
    <w:rsid w:val="00CB4C43"/>
    <w:rsid w:val="00CE7971"/>
    <w:rsid w:val="00D26023"/>
    <w:rsid w:val="00D3194B"/>
    <w:rsid w:val="00D36E52"/>
    <w:rsid w:val="00D43043"/>
    <w:rsid w:val="00D6358C"/>
    <w:rsid w:val="00D644E2"/>
    <w:rsid w:val="00D717D3"/>
    <w:rsid w:val="00D932E4"/>
    <w:rsid w:val="00DB6B14"/>
    <w:rsid w:val="00DD5390"/>
    <w:rsid w:val="00DF251B"/>
    <w:rsid w:val="00DF5AAF"/>
    <w:rsid w:val="00E02D4F"/>
    <w:rsid w:val="00E0430B"/>
    <w:rsid w:val="00E0604F"/>
    <w:rsid w:val="00E31609"/>
    <w:rsid w:val="00E777FB"/>
    <w:rsid w:val="00E94218"/>
    <w:rsid w:val="00EA439D"/>
    <w:rsid w:val="00EE05AE"/>
    <w:rsid w:val="00EE4DB6"/>
    <w:rsid w:val="00F01731"/>
    <w:rsid w:val="00F51661"/>
    <w:rsid w:val="00F90A7D"/>
    <w:rsid w:val="00FA38A3"/>
    <w:rsid w:val="00FB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25A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25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60F6"/>
    <w:pPr>
      <w:ind w:left="720"/>
      <w:contextualSpacing/>
    </w:pPr>
  </w:style>
  <w:style w:type="character" w:customStyle="1" w:styleId="current-selection">
    <w:name w:val="current-selection"/>
    <w:basedOn w:val="DefaultParagraphFont"/>
    <w:rsid w:val="000B60F6"/>
  </w:style>
  <w:style w:type="paragraph" w:styleId="Revision">
    <w:name w:val="Revision"/>
    <w:hidden/>
    <w:uiPriority w:val="99"/>
    <w:semiHidden/>
    <w:rsid w:val="00CE7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9B9BA741CB7643A4FCF8F8CA53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A74E-C4D6-F64C-9BE5-62CE019345B5}"/>
      </w:docPartPr>
      <w:docPartBody>
        <w:p w:rsidR="00761D54" w:rsidRDefault="00456357">
          <w:pPr>
            <w:pStyle w:val="6C9B9BA741CB7643A4FCF8F8CA5307DB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761D54" w:rsidRDefault="00456357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761D54" w:rsidRDefault="00456357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D54"/>
    <w:rsid w:val="00032E24"/>
    <w:rsid w:val="00144CAC"/>
    <w:rsid w:val="001F7852"/>
    <w:rsid w:val="00456357"/>
    <w:rsid w:val="004D7F4B"/>
    <w:rsid w:val="00761D54"/>
    <w:rsid w:val="00796E00"/>
    <w:rsid w:val="00C7723C"/>
    <w:rsid w:val="00F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E9CAF6E56D6DB74D8532E8CFBED8E924">
    <w:name w:val="E9CAF6E56D6DB74D8532E8CFBED8E924"/>
    <w:rsid w:val="00F53ECE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HUBDOC-169-667</_dlc_DocId>
    <_dlc_DocIdUrl xmlns="f66da2ca-f37c-4205-929f-e8e9af1907d3">
      <Url>https://intranet.wei.wisc.edu/glbrc/doe/_layouts/15/DocIdRedir.aspx?ID=HUBDOC-169-667</Url>
      <Description>HUBDOC-169-667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Matthew Wisniewski</cp:lastModifiedBy>
  <cp:revision>10</cp:revision>
  <dcterms:created xsi:type="dcterms:W3CDTF">2019-01-30T14:36:00Z</dcterms:created>
  <dcterms:modified xsi:type="dcterms:W3CDTF">2019-02-11T16:08:00Z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2a9fd641-e640-4e9f-ba5c-c77cddc451af</vt:lpwstr>
  </property>
  <property fmtid="{D5CDD505-2E9C-101B-9397-08002B2CF9AE}" pid="4" name="TaxKeyword">
    <vt:lpwstr/>
  </property>
</Properties>
</file>