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062CB74F" w:rsidR="007B274B" w:rsidRPr="007B274B" w:rsidRDefault="004D38F0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>1</w:t>
      </w:r>
      <w:r w:rsidR="00121FBD">
        <w:rPr>
          <w:rFonts w:ascii="Arial" w:hAnsi="Arial" w:cs="Arial"/>
          <w:color w:val="7F7F7F"/>
          <w:sz w:val="20"/>
        </w:rPr>
        <w:t>1</w:t>
      </w:r>
      <w:r>
        <w:rPr>
          <w:rFonts w:ascii="Arial" w:hAnsi="Arial" w:cs="Arial"/>
          <w:color w:val="7F7F7F"/>
          <w:sz w:val="20"/>
        </w:rPr>
        <w:t xml:space="preserve"> </w:t>
      </w:r>
      <w:r w:rsidR="00D40628">
        <w:rPr>
          <w:rFonts w:ascii="Arial" w:hAnsi="Arial" w:cs="Arial"/>
          <w:color w:val="7F7F7F"/>
          <w:sz w:val="20"/>
        </w:rPr>
        <w:t>September</w:t>
      </w:r>
      <w:r w:rsidR="00402C8A">
        <w:rPr>
          <w:rFonts w:ascii="Arial" w:hAnsi="Arial" w:cs="Arial"/>
          <w:color w:val="7F7F7F"/>
          <w:sz w:val="20"/>
        </w:rPr>
        <w:t xml:space="preserve"> </w:t>
      </w:r>
      <w:r w:rsidR="00F9462B">
        <w:rPr>
          <w:rFonts w:ascii="Arial" w:hAnsi="Arial" w:cs="Arial"/>
          <w:color w:val="7F7F7F"/>
          <w:sz w:val="20"/>
        </w:rPr>
        <w:t>201</w:t>
      </w:r>
      <w:r w:rsidR="001B7B10">
        <w:rPr>
          <w:rFonts w:ascii="Arial" w:hAnsi="Arial" w:cs="Arial"/>
          <w:color w:val="7F7F7F"/>
          <w:sz w:val="20"/>
        </w:rPr>
        <w:t>9</w:t>
      </w:r>
    </w:p>
    <w:p w14:paraId="255A5345" w14:textId="1860D729" w:rsidR="00F75244" w:rsidRPr="00455DE0" w:rsidRDefault="00CC741A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Different </w:t>
      </w:r>
      <w:r w:rsidR="001572B0">
        <w:rPr>
          <w:rFonts w:ascii="Arial" w:hAnsi="Arial" w:cs="Arial"/>
          <w:b/>
          <w:bCs/>
          <w:color w:val="106636"/>
          <w:kern w:val="36"/>
          <w:sz w:val="36"/>
          <w:szCs w:val="36"/>
        </w:rPr>
        <w:t>biomass pretreatment</w:t>
      </w: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 strategie</w:t>
      </w:r>
      <w:r w:rsidR="001572B0">
        <w:rPr>
          <w:rFonts w:ascii="Arial" w:hAnsi="Arial" w:cs="Arial"/>
          <w:b/>
          <w:bCs/>
          <w:color w:val="106636"/>
          <w:kern w:val="36"/>
          <w:sz w:val="36"/>
          <w:szCs w:val="36"/>
        </w:rPr>
        <w:t>s</w:t>
      </w: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 give different hydrolysis, lignin yields from woody biomass</w:t>
      </w:r>
    </w:p>
    <w:p w14:paraId="223D806C" w14:textId="72686FA6" w:rsidR="00B145BE" w:rsidRPr="00B145BE" w:rsidRDefault="00D40628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>DOE Bioenergy Research Centers</w:t>
      </w:r>
      <w:r w:rsidR="007713CA">
        <w:rPr>
          <w:rFonts w:ascii="Arial" w:hAnsi="Arial" w:cs="Arial"/>
          <w:color w:val="989898"/>
          <w:sz w:val="30"/>
          <w:szCs w:val="30"/>
        </w:rPr>
        <w:t>’</w:t>
      </w:r>
      <w:r>
        <w:rPr>
          <w:rFonts w:ascii="Arial" w:hAnsi="Arial" w:cs="Arial"/>
          <w:color w:val="989898"/>
          <w:sz w:val="30"/>
          <w:szCs w:val="30"/>
        </w:rPr>
        <w:t xml:space="preserve"> collaborat</w:t>
      </w:r>
      <w:r w:rsidR="00A90B76">
        <w:rPr>
          <w:rFonts w:ascii="Arial" w:hAnsi="Arial" w:cs="Arial"/>
          <w:color w:val="989898"/>
          <w:sz w:val="30"/>
          <w:szCs w:val="30"/>
        </w:rPr>
        <w:t>ion</w:t>
      </w:r>
      <w:r w:rsidR="001572B0">
        <w:rPr>
          <w:rFonts w:ascii="Arial" w:hAnsi="Arial" w:cs="Arial"/>
          <w:color w:val="989898"/>
          <w:sz w:val="30"/>
          <w:szCs w:val="30"/>
        </w:rPr>
        <w:t xml:space="preserve"> </w:t>
      </w:r>
      <w:r w:rsidR="007713CA">
        <w:rPr>
          <w:rFonts w:ascii="Arial" w:hAnsi="Arial" w:cs="Arial"/>
          <w:color w:val="989898"/>
          <w:sz w:val="30"/>
          <w:szCs w:val="30"/>
        </w:rPr>
        <w:t xml:space="preserve">shows benefits and limitations of </w:t>
      </w:r>
      <w:r w:rsidR="009029A1">
        <w:rPr>
          <w:rFonts w:ascii="Arial" w:hAnsi="Arial" w:cs="Arial"/>
          <w:color w:val="989898"/>
          <w:sz w:val="30"/>
          <w:szCs w:val="30"/>
        </w:rPr>
        <w:t>three</w:t>
      </w:r>
      <w:r w:rsidR="007713CA">
        <w:rPr>
          <w:rFonts w:ascii="Arial" w:hAnsi="Arial" w:cs="Arial"/>
          <w:color w:val="989898"/>
          <w:sz w:val="30"/>
          <w:szCs w:val="30"/>
        </w:rPr>
        <w:t xml:space="preserve"> pretreatment</w:t>
      </w:r>
      <w:r w:rsidR="009029A1">
        <w:rPr>
          <w:rFonts w:ascii="Arial" w:hAnsi="Arial" w:cs="Arial"/>
          <w:color w:val="989898"/>
          <w:sz w:val="30"/>
          <w:szCs w:val="30"/>
        </w:rPr>
        <w:t xml:space="preserve"> strategies</w:t>
      </w:r>
      <w:r w:rsidR="00CC741A">
        <w:rPr>
          <w:rFonts w:ascii="Arial" w:hAnsi="Arial" w:cs="Arial"/>
          <w:color w:val="989898"/>
          <w:sz w:val="30"/>
          <w:szCs w:val="30"/>
        </w:rPr>
        <w:t>.</w:t>
      </w:r>
    </w:p>
    <w:p w14:paraId="282D6682" w14:textId="77777777" w:rsidR="008C337F" w:rsidRDefault="008C337F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3D38D5E4" w14:textId="221F5C87" w:rsidR="00355AA5" w:rsidRDefault="00355AA5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 xml:space="preserve">The </w:t>
      </w:r>
      <w:r>
        <w:rPr>
          <w:rFonts w:ascii="Arial" w:hAnsi="Arial" w:cs="Arial"/>
          <w:b/>
          <w:bCs/>
          <w:color w:val="686868"/>
          <w:sz w:val="25"/>
          <w:szCs w:val="25"/>
        </w:rPr>
        <w:t xml:space="preserve">Science </w:t>
      </w:r>
    </w:p>
    <w:p w14:paraId="36A5A8E1" w14:textId="386A1E2B" w:rsidR="005C7294" w:rsidRDefault="00D74D9C" w:rsidP="002B4B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620528">
        <w:rPr>
          <w:rFonts w:ascii="Arial" w:eastAsiaTheme="minorEastAsia" w:hAnsi="Arial" w:cs="Arial"/>
          <w:sz w:val="20"/>
          <w:szCs w:val="20"/>
          <w:lang w:eastAsia="en-US"/>
        </w:rPr>
        <w:t>Lign</w:t>
      </w:r>
      <w:r w:rsidR="005C7294">
        <w:rPr>
          <w:rFonts w:ascii="Arial" w:eastAsiaTheme="minorEastAsia" w:hAnsi="Arial" w:cs="Arial"/>
          <w:sz w:val="20"/>
          <w:szCs w:val="20"/>
          <w:lang w:eastAsia="en-US"/>
        </w:rPr>
        <w:t xml:space="preserve">ocellulosic biomass represents an enormous reservoir of reduced carbon that </w:t>
      </w:r>
      <w:r w:rsidR="00512AD3">
        <w:rPr>
          <w:rFonts w:ascii="Arial" w:eastAsiaTheme="minorEastAsia" w:hAnsi="Arial" w:cs="Arial"/>
          <w:sz w:val="20"/>
          <w:szCs w:val="20"/>
          <w:lang w:eastAsia="en-US"/>
        </w:rPr>
        <w:t>is a</w:t>
      </w:r>
      <w:r w:rsidR="005C7294">
        <w:rPr>
          <w:rFonts w:ascii="Arial" w:eastAsiaTheme="minorEastAsia" w:hAnsi="Arial" w:cs="Arial"/>
          <w:sz w:val="20"/>
          <w:szCs w:val="20"/>
          <w:lang w:eastAsia="en-US"/>
        </w:rPr>
        <w:t xml:space="preserve"> potential feedstock for the production of renewable fuels, chemicals, and polymeric materials. </w:t>
      </w:r>
      <w:r w:rsidR="005229B5">
        <w:rPr>
          <w:rFonts w:ascii="Arial" w:eastAsiaTheme="minorEastAsia" w:hAnsi="Arial" w:cs="Arial"/>
          <w:sz w:val="20"/>
          <w:szCs w:val="20"/>
          <w:lang w:eastAsia="en-US"/>
        </w:rPr>
        <w:t>P</w:t>
      </w:r>
      <w:r w:rsidR="002C16DB">
        <w:rPr>
          <w:rFonts w:ascii="Arial" w:eastAsiaTheme="minorEastAsia" w:hAnsi="Arial" w:cs="Arial"/>
          <w:sz w:val="20"/>
          <w:szCs w:val="20"/>
          <w:lang w:eastAsia="en-US"/>
        </w:rPr>
        <w:t xml:space="preserve">retreatment </w:t>
      </w:r>
      <w:r w:rsidR="005229B5">
        <w:rPr>
          <w:rFonts w:ascii="Arial" w:eastAsiaTheme="minorEastAsia" w:hAnsi="Arial" w:cs="Arial"/>
          <w:sz w:val="20"/>
          <w:szCs w:val="20"/>
          <w:lang w:eastAsia="en-US"/>
        </w:rPr>
        <w:t xml:space="preserve">processes are needed to begin breaking down the biomass and </w:t>
      </w:r>
      <w:r w:rsidR="002C16DB">
        <w:rPr>
          <w:rFonts w:ascii="Arial" w:eastAsiaTheme="minorEastAsia" w:hAnsi="Arial" w:cs="Arial"/>
          <w:sz w:val="20"/>
          <w:szCs w:val="20"/>
          <w:lang w:eastAsia="en-US"/>
        </w:rPr>
        <w:t xml:space="preserve">make the </w:t>
      </w:r>
      <w:r w:rsidR="005229B5">
        <w:rPr>
          <w:rFonts w:ascii="Arial" w:eastAsiaTheme="minorEastAsia" w:hAnsi="Arial" w:cs="Arial"/>
          <w:sz w:val="20"/>
          <w:szCs w:val="20"/>
          <w:lang w:eastAsia="en-US"/>
        </w:rPr>
        <w:t xml:space="preserve">plant </w:t>
      </w:r>
      <w:r w:rsidR="002C16DB">
        <w:rPr>
          <w:rFonts w:ascii="Arial" w:eastAsiaTheme="minorEastAsia" w:hAnsi="Arial" w:cs="Arial"/>
          <w:sz w:val="20"/>
          <w:szCs w:val="20"/>
          <w:lang w:eastAsia="en-US"/>
        </w:rPr>
        <w:t>sugars accessible for microbial fermentation</w:t>
      </w:r>
      <w:r w:rsidR="00A528B8">
        <w:rPr>
          <w:rFonts w:ascii="Arial" w:eastAsiaTheme="minorEastAsia" w:hAnsi="Arial" w:cs="Arial"/>
          <w:sz w:val="20"/>
          <w:szCs w:val="20"/>
          <w:lang w:eastAsia="en-US"/>
        </w:rPr>
        <w:t xml:space="preserve"> into fuels and other products</w:t>
      </w:r>
      <w:r w:rsidR="002C16DB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  <w:r w:rsidR="005229B5">
        <w:rPr>
          <w:rFonts w:ascii="Arial" w:eastAsiaTheme="minorEastAsia" w:hAnsi="Arial" w:cs="Arial"/>
          <w:sz w:val="20"/>
          <w:szCs w:val="20"/>
          <w:lang w:eastAsia="en-US"/>
        </w:rPr>
        <w:t>W</w:t>
      </w:r>
      <w:r w:rsidR="005C7294">
        <w:rPr>
          <w:rFonts w:ascii="Arial" w:eastAsiaTheme="minorEastAsia" w:hAnsi="Arial" w:cs="Arial"/>
          <w:sz w:val="20"/>
          <w:szCs w:val="20"/>
          <w:lang w:eastAsia="en-US"/>
        </w:rPr>
        <w:t xml:space="preserve">oody biomass </w:t>
      </w:r>
      <w:r w:rsidR="00BF7946">
        <w:rPr>
          <w:rFonts w:ascii="Arial" w:eastAsiaTheme="minorEastAsia" w:hAnsi="Arial" w:cs="Arial"/>
          <w:sz w:val="20"/>
          <w:szCs w:val="20"/>
          <w:lang w:eastAsia="en-US"/>
        </w:rPr>
        <w:t xml:space="preserve">such as </w:t>
      </w:r>
      <w:r w:rsidR="00EC1B91">
        <w:rPr>
          <w:rFonts w:ascii="Arial" w:eastAsiaTheme="minorEastAsia" w:hAnsi="Arial" w:cs="Arial"/>
          <w:sz w:val="20"/>
          <w:szCs w:val="20"/>
          <w:lang w:eastAsia="en-US"/>
        </w:rPr>
        <w:t>poplar</w:t>
      </w:r>
      <w:r w:rsidR="00BF7946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5C7294">
        <w:rPr>
          <w:rFonts w:ascii="Arial" w:eastAsiaTheme="minorEastAsia" w:hAnsi="Arial" w:cs="Arial"/>
          <w:sz w:val="20"/>
          <w:szCs w:val="20"/>
          <w:lang w:eastAsia="en-US"/>
        </w:rPr>
        <w:t>offers several potential benefits as a bioenergy feedstock</w:t>
      </w:r>
      <w:r w:rsidR="00A528B8">
        <w:rPr>
          <w:rFonts w:ascii="Arial" w:eastAsiaTheme="minorEastAsia" w:hAnsi="Arial" w:cs="Arial"/>
          <w:sz w:val="20"/>
          <w:szCs w:val="20"/>
          <w:lang w:eastAsia="en-US"/>
        </w:rPr>
        <w:t xml:space="preserve">, </w:t>
      </w:r>
      <w:r w:rsidR="00A528B8">
        <w:rPr>
          <w:rFonts w:ascii="Arial" w:hAnsi="Arial" w:cs="Arial"/>
          <w:sz w:val="20"/>
          <w:szCs w:val="20"/>
        </w:rPr>
        <w:t>including high productivi</w:t>
      </w:r>
      <w:r w:rsidR="005229B5">
        <w:rPr>
          <w:rFonts w:ascii="Arial" w:hAnsi="Arial" w:cs="Arial"/>
          <w:sz w:val="20"/>
          <w:szCs w:val="20"/>
        </w:rPr>
        <w:t>ty</w:t>
      </w:r>
      <w:r w:rsidR="00A528B8">
        <w:rPr>
          <w:rFonts w:ascii="Arial" w:hAnsi="Arial" w:cs="Arial"/>
          <w:sz w:val="20"/>
          <w:szCs w:val="20"/>
        </w:rPr>
        <w:t>, high bulk densi</w:t>
      </w:r>
      <w:r w:rsidR="0042285C">
        <w:rPr>
          <w:rFonts w:ascii="Arial" w:hAnsi="Arial" w:cs="Arial"/>
          <w:sz w:val="20"/>
          <w:szCs w:val="20"/>
        </w:rPr>
        <w:t>ty</w:t>
      </w:r>
      <w:r w:rsidR="00A528B8">
        <w:rPr>
          <w:rFonts w:ascii="Arial" w:hAnsi="Arial" w:cs="Arial"/>
          <w:sz w:val="20"/>
          <w:szCs w:val="20"/>
        </w:rPr>
        <w:t xml:space="preserve"> (</w:t>
      </w:r>
      <w:r w:rsidR="005229B5">
        <w:rPr>
          <w:rFonts w:ascii="Arial" w:hAnsi="Arial" w:cs="Arial"/>
          <w:sz w:val="20"/>
          <w:szCs w:val="20"/>
        </w:rPr>
        <w:t xml:space="preserve">making it easier to </w:t>
      </w:r>
      <w:r w:rsidR="00A528B8">
        <w:rPr>
          <w:rFonts w:ascii="Arial" w:hAnsi="Arial" w:cs="Arial"/>
          <w:sz w:val="20"/>
          <w:szCs w:val="20"/>
        </w:rPr>
        <w:t>transport and store), year-round availability, and suitability for widespread cultivation on land that may not be preferred for other agricultural uses</w:t>
      </w:r>
      <w:r w:rsidR="005C7294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  <w:r w:rsidR="005229B5">
        <w:rPr>
          <w:rFonts w:ascii="Arial" w:eastAsiaTheme="minorEastAsia" w:hAnsi="Arial" w:cs="Arial"/>
          <w:sz w:val="20"/>
          <w:szCs w:val="20"/>
          <w:lang w:eastAsia="en-US"/>
        </w:rPr>
        <w:t xml:space="preserve">However, woody biomass is </w:t>
      </w:r>
      <w:r w:rsidR="00434F70">
        <w:rPr>
          <w:rFonts w:ascii="Arial" w:eastAsiaTheme="minorEastAsia" w:hAnsi="Arial" w:cs="Arial"/>
          <w:sz w:val="20"/>
          <w:szCs w:val="20"/>
          <w:lang w:eastAsia="en-US"/>
        </w:rPr>
        <w:t>more resistant</w:t>
      </w:r>
      <w:r w:rsidR="005229B5">
        <w:rPr>
          <w:rFonts w:ascii="Arial" w:eastAsiaTheme="minorEastAsia" w:hAnsi="Arial" w:cs="Arial"/>
          <w:sz w:val="20"/>
          <w:szCs w:val="20"/>
          <w:lang w:eastAsia="en-US"/>
        </w:rPr>
        <w:t xml:space="preserve"> to breakdown than </w:t>
      </w:r>
      <w:r w:rsidR="009D692B">
        <w:rPr>
          <w:rFonts w:ascii="Arial" w:eastAsiaTheme="minorEastAsia" w:hAnsi="Arial" w:cs="Arial"/>
          <w:sz w:val="20"/>
          <w:szCs w:val="20"/>
          <w:lang w:eastAsia="en-US"/>
        </w:rPr>
        <w:t xml:space="preserve">herbaceous </w:t>
      </w:r>
      <w:r w:rsidR="005229B5">
        <w:rPr>
          <w:rFonts w:ascii="Arial" w:eastAsiaTheme="minorEastAsia" w:hAnsi="Arial" w:cs="Arial"/>
          <w:sz w:val="20"/>
          <w:szCs w:val="20"/>
          <w:lang w:eastAsia="en-US"/>
        </w:rPr>
        <w:t>feedstocks</w:t>
      </w:r>
      <w:r w:rsidR="00CD4F62">
        <w:rPr>
          <w:rFonts w:ascii="Arial" w:eastAsiaTheme="minorEastAsia" w:hAnsi="Arial" w:cs="Arial"/>
          <w:sz w:val="20"/>
          <w:szCs w:val="20"/>
          <w:lang w:eastAsia="en-US"/>
        </w:rPr>
        <w:t xml:space="preserve"> such as switchgrass</w:t>
      </w:r>
      <w:r w:rsidR="005229B5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  <w:r w:rsidR="00B1033F">
        <w:rPr>
          <w:rFonts w:ascii="Arial" w:eastAsiaTheme="minorEastAsia" w:hAnsi="Arial" w:cs="Arial"/>
          <w:sz w:val="20"/>
          <w:szCs w:val="20"/>
          <w:lang w:eastAsia="en-US"/>
        </w:rPr>
        <w:t>S</w:t>
      </w:r>
      <w:r w:rsidR="005C7294">
        <w:rPr>
          <w:rFonts w:ascii="Arial" w:eastAsiaTheme="minorEastAsia" w:hAnsi="Arial" w:cs="Arial"/>
          <w:sz w:val="20"/>
          <w:szCs w:val="20"/>
          <w:lang w:eastAsia="en-US"/>
        </w:rPr>
        <w:t xml:space="preserve">cientists at the three original Bioenergy Research Centers (BRCs) </w:t>
      </w:r>
      <w:r w:rsidR="002B4BA1">
        <w:rPr>
          <w:rFonts w:ascii="Arial" w:hAnsi="Arial" w:cs="Arial"/>
          <w:sz w:val="20"/>
          <w:szCs w:val="20"/>
        </w:rPr>
        <w:t xml:space="preserve">– Great Lakes Bioenergy Research Center, Joint </w:t>
      </w:r>
      <w:proofErr w:type="spellStart"/>
      <w:r w:rsidR="002B4BA1">
        <w:rPr>
          <w:rFonts w:ascii="Arial" w:hAnsi="Arial" w:cs="Arial"/>
          <w:sz w:val="20"/>
          <w:szCs w:val="20"/>
        </w:rPr>
        <w:t>BioEnergy</w:t>
      </w:r>
      <w:proofErr w:type="spellEnd"/>
      <w:r w:rsidR="002B4BA1">
        <w:rPr>
          <w:rFonts w:ascii="Arial" w:hAnsi="Arial" w:cs="Arial"/>
          <w:sz w:val="20"/>
          <w:szCs w:val="20"/>
        </w:rPr>
        <w:t xml:space="preserve"> Institute, and </w:t>
      </w:r>
      <w:proofErr w:type="spellStart"/>
      <w:r w:rsidR="002B4BA1">
        <w:rPr>
          <w:rFonts w:ascii="Arial" w:hAnsi="Arial" w:cs="Arial"/>
          <w:sz w:val="20"/>
          <w:szCs w:val="20"/>
        </w:rPr>
        <w:t>BioEnergy</w:t>
      </w:r>
      <w:proofErr w:type="spellEnd"/>
      <w:r w:rsidR="002B4BA1">
        <w:rPr>
          <w:rFonts w:ascii="Arial" w:hAnsi="Arial" w:cs="Arial"/>
          <w:sz w:val="20"/>
          <w:szCs w:val="20"/>
        </w:rPr>
        <w:t xml:space="preserve"> Science Center (now </w:t>
      </w:r>
      <w:r w:rsidR="00BB10B5">
        <w:rPr>
          <w:rFonts w:ascii="Arial" w:hAnsi="Arial" w:cs="Arial"/>
          <w:sz w:val="20"/>
          <w:szCs w:val="20"/>
        </w:rPr>
        <w:t>t</w:t>
      </w:r>
      <w:r w:rsidR="002B4BA1">
        <w:rPr>
          <w:rFonts w:ascii="Arial" w:hAnsi="Arial" w:cs="Arial"/>
          <w:sz w:val="20"/>
          <w:szCs w:val="20"/>
        </w:rPr>
        <w:t>he Center for Bioenergy Innovation) –</w:t>
      </w:r>
      <w:r w:rsidR="00BF7946">
        <w:rPr>
          <w:rFonts w:ascii="Arial" w:hAnsi="Arial" w:cs="Arial"/>
          <w:sz w:val="20"/>
          <w:szCs w:val="20"/>
        </w:rPr>
        <w:t xml:space="preserve"> </w:t>
      </w:r>
      <w:r w:rsidR="005C7294">
        <w:rPr>
          <w:rFonts w:ascii="Arial" w:eastAsiaTheme="minorEastAsia" w:hAnsi="Arial" w:cs="Arial"/>
          <w:sz w:val="20"/>
          <w:szCs w:val="20"/>
          <w:lang w:eastAsia="en-US"/>
        </w:rPr>
        <w:t xml:space="preserve">collaborated to 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 xml:space="preserve">compare </w:t>
      </w:r>
      <w:r w:rsidR="00B1033F">
        <w:rPr>
          <w:rFonts w:ascii="Arial" w:eastAsiaTheme="minorEastAsia" w:hAnsi="Arial" w:cs="Arial"/>
          <w:sz w:val="20"/>
          <w:szCs w:val="20"/>
          <w:lang w:eastAsia="en-US"/>
        </w:rPr>
        <w:t xml:space="preserve">the performance of 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 xml:space="preserve">three pretreatment strategies </w:t>
      </w:r>
      <w:r w:rsidR="005229B5">
        <w:rPr>
          <w:rFonts w:ascii="Arial" w:eastAsiaTheme="minorEastAsia" w:hAnsi="Arial" w:cs="Arial"/>
          <w:sz w:val="20"/>
          <w:szCs w:val="20"/>
          <w:lang w:eastAsia="en-US"/>
        </w:rPr>
        <w:t>on woody biomass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>. T</w:t>
      </w:r>
      <w:r w:rsidR="00AA1781">
        <w:rPr>
          <w:rFonts w:ascii="Arial" w:eastAsiaTheme="minorEastAsia" w:hAnsi="Arial" w:cs="Arial"/>
          <w:sz w:val="20"/>
          <w:szCs w:val="20"/>
          <w:lang w:eastAsia="en-US"/>
        </w:rPr>
        <w:t>hey evaluated t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 xml:space="preserve">hree main criteria: 1) </w:t>
      </w:r>
      <w:r w:rsidR="00434F70">
        <w:rPr>
          <w:rFonts w:ascii="Arial" w:eastAsiaTheme="minorEastAsia" w:hAnsi="Arial" w:cs="Arial"/>
          <w:sz w:val="20"/>
          <w:szCs w:val="20"/>
          <w:lang w:eastAsia="en-US"/>
        </w:rPr>
        <w:t xml:space="preserve">how easily 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 xml:space="preserve">the pretreated biomass </w:t>
      </w:r>
      <w:r w:rsidR="00434F70">
        <w:rPr>
          <w:rFonts w:ascii="Arial" w:eastAsiaTheme="minorEastAsia" w:hAnsi="Arial" w:cs="Arial"/>
          <w:sz w:val="20"/>
          <w:szCs w:val="20"/>
          <w:lang w:eastAsia="en-US"/>
        </w:rPr>
        <w:t xml:space="preserve">could be further digested 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 xml:space="preserve">by cellulolytic enzymes, 2) </w:t>
      </w:r>
      <w:r w:rsidR="00434F70">
        <w:rPr>
          <w:rFonts w:ascii="Arial" w:eastAsiaTheme="minorEastAsia" w:hAnsi="Arial" w:cs="Arial"/>
          <w:sz w:val="20"/>
          <w:szCs w:val="20"/>
          <w:lang w:eastAsia="en-US"/>
        </w:rPr>
        <w:t xml:space="preserve">how much of the starting 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 xml:space="preserve">mass </w:t>
      </w:r>
      <w:r w:rsidR="00434F70">
        <w:rPr>
          <w:rFonts w:ascii="Arial" w:eastAsiaTheme="minorEastAsia" w:hAnsi="Arial" w:cs="Arial"/>
          <w:sz w:val="20"/>
          <w:szCs w:val="20"/>
          <w:lang w:eastAsia="en-US"/>
        </w:rPr>
        <w:t>was maintained through all the processing steps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 xml:space="preserve">, and 3) </w:t>
      </w:r>
      <w:r w:rsidR="006737D0">
        <w:rPr>
          <w:rFonts w:ascii="Arial" w:eastAsiaTheme="minorEastAsia" w:hAnsi="Arial" w:cs="Arial"/>
          <w:sz w:val="20"/>
          <w:szCs w:val="20"/>
          <w:lang w:eastAsia="en-US"/>
        </w:rPr>
        <w:t xml:space="preserve">suitability 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 xml:space="preserve">of the resulting lignin fractions for </w:t>
      </w:r>
      <w:r w:rsidR="006737D0">
        <w:rPr>
          <w:rFonts w:ascii="Arial" w:eastAsiaTheme="minorEastAsia" w:hAnsi="Arial" w:cs="Arial"/>
          <w:sz w:val="20"/>
          <w:szCs w:val="20"/>
          <w:lang w:eastAsia="en-US"/>
        </w:rPr>
        <w:t>additional uses</w:t>
      </w:r>
      <w:r w:rsidR="002B4BA1">
        <w:rPr>
          <w:rFonts w:ascii="Arial" w:eastAsiaTheme="minorEastAsia" w:hAnsi="Arial" w:cs="Arial"/>
          <w:sz w:val="20"/>
          <w:szCs w:val="20"/>
          <w:lang w:eastAsia="en-US"/>
        </w:rPr>
        <w:t xml:space="preserve">.  </w:t>
      </w:r>
    </w:p>
    <w:p w14:paraId="78820667" w14:textId="77777777" w:rsidR="00F35FA3" w:rsidRPr="00BF79DB" w:rsidRDefault="00F35FA3" w:rsidP="00DB1D8C">
      <w:pPr>
        <w:rPr>
          <w:rFonts w:ascii="Arial" w:hAnsi="Arial" w:cs="Arial"/>
          <w:b/>
          <w:bCs/>
          <w:color w:val="686868"/>
          <w:sz w:val="20"/>
          <w:szCs w:val="20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52724EDC" w14:textId="10E91811" w:rsidR="00355AA5" w:rsidRPr="00783833" w:rsidRDefault="00951F68" w:rsidP="00B50E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work represents a valuable advance in </w:t>
      </w:r>
      <w:r w:rsidR="00EE1D00">
        <w:rPr>
          <w:rFonts w:ascii="Arial" w:hAnsi="Arial" w:cs="Arial"/>
          <w:sz w:val="20"/>
          <w:szCs w:val="20"/>
        </w:rPr>
        <w:t>understanding the benefits and limitations of three different biomass pretreatment processes</w:t>
      </w:r>
      <w:r w:rsidR="002B4BA1">
        <w:rPr>
          <w:rFonts w:ascii="Arial" w:hAnsi="Arial" w:cs="Arial"/>
          <w:sz w:val="20"/>
          <w:szCs w:val="20"/>
        </w:rPr>
        <w:t xml:space="preserve">. </w:t>
      </w:r>
      <w:r w:rsidR="00025F4E">
        <w:rPr>
          <w:rFonts w:ascii="Arial" w:hAnsi="Arial" w:cs="Arial"/>
          <w:sz w:val="20"/>
          <w:szCs w:val="20"/>
        </w:rPr>
        <w:t xml:space="preserve">While </w:t>
      </w:r>
      <w:r w:rsidR="00010037">
        <w:rPr>
          <w:rFonts w:ascii="Arial" w:hAnsi="Arial" w:cs="Arial"/>
          <w:sz w:val="20"/>
          <w:szCs w:val="20"/>
        </w:rPr>
        <w:t xml:space="preserve">all </w:t>
      </w:r>
      <w:r w:rsidR="00B50EAB">
        <w:rPr>
          <w:rFonts w:ascii="Arial" w:hAnsi="Arial" w:cs="Arial"/>
          <w:sz w:val="20"/>
          <w:szCs w:val="20"/>
        </w:rPr>
        <w:t xml:space="preserve">three pretreatments highlighted in this study </w:t>
      </w:r>
      <w:r w:rsidR="009D692B">
        <w:rPr>
          <w:rFonts w:ascii="Arial" w:hAnsi="Arial" w:cs="Arial"/>
          <w:sz w:val="20"/>
          <w:szCs w:val="20"/>
        </w:rPr>
        <w:t xml:space="preserve">were capable of </w:t>
      </w:r>
      <w:r w:rsidR="00025F4E">
        <w:rPr>
          <w:rFonts w:ascii="Arial" w:hAnsi="Arial" w:cs="Arial"/>
          <w:sz w:val="20"/>
          <w:szCs w:val="20"/>
        </w:rPr>
        <w:t xml:space="preserve">biomass fractionation, they </w:t>
      </w:r>
      <w:r w:rsidR="00B50EAB">
        <w:rPr>
          <w:rFonts w:ascii="Arial" w:hAnsi="Arial" w:cs="Arial"/>
          <w:sz w:val="20"/>
          <w:szCs w:val="20"/>
        </w:rPr>
        <w:t xml:space="preserve">demonstrated uniquely different functionalities in reducing biomass recalcitrance and achieving higher enzymatic hydrolysis yields for hybrid poplar while yielding a lignin-rich stream that may be suitable for </w:t>
      </w:r>
      <w:r w:rsidR="00EC1B91">
        <w:rPr>
          <w:rFonts w:ascii="Arial" w:hAnsi="Arial" w:cs="Arial"/>
          <w:sz w:val="20"/>
          <w:szCs w:val="20"/>
        </w:rPr>
        <w:t>further processing into co-products</w:t>
      </w:r>
      <w:r w:rsidR="009B3D03">
        <w:rPr>
          <w:rFonts w:ascii="Arial" w:hAnsi="Arial" w:cs="Arial"/>
          <w:sz w:val="20"/>
          <w:szCs w:val="20"/>
        </w:rPr>
        <w:t xml:space="preserve">. </w:t>
      </w:r>
      <w:r w:rsidR="00025F4E">
        <w:rPr>
          <w:rFonts w:ascii="Arial" w:hAnsi="Arial" w:cs="Arial"/>
          <w:sz w:val="20"/>
          <w:szCs w:val="20"/>
        </w:rPr>
        <w:t>These results suggest that different pretreatment strategies may give preferred outcomes depending on specific project goals and anticipated further use of the material</w:t>
      </w:r>
      <w:r w:rsidR="008018EB">
        <w:rPr>
          <w:rFonts w:ascii="Arial" w:hAnsi="Arial" w:cs="Arial"/>
          <w:sz w:val="20"/>
          <w:szCs w:val="20"/>
        </w:rPr>
        <w:t xml:space="preserve"> (specifically the chemical uses of the produced lignin fractions)</w:t>
      </w:r>
      <w:r w:rsidR="00025F4E">
        <w:rPr>
          <w:rFonts w:ascii="Arial" w:hAnsi="Arial" w:cs="Arial"/>
          <w:sz w:val="20"/>
          <w:szCs w:val="20"/>
        </w:rPr>
        <w:t>.</w:t>
      </w:r>
    </w:p>
    <w:p w14:paraId="7CE2A1E2" w14:textId="77777777" w:rsidR="00710098" w:rsidRPr="00BC4560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273B3BE2" w14:textId="320DA266" w:rsidR="002A2617" w:rsidRPr="002A2617" w:rsidRDefault="002A2617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In this work, three pretreatments under investigation at the DOE BRCs were compar</w:t>
      </w:r>
      <w:r w:rsidR="00ED4E37">
        <w:rPr>
          <w:rFonts w:ascii="Arial" w:eastAsiaTheme="minorEastAsia" w:hAnsi="Arial" w:cs="Arial"/>
          <w:sz w:val="20"/>
          <w:szCs w:val="20"/>
          <w:lang w:eastAsia="en-US"/>
        </w:rPr>
        <w:t>ed side-by-side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to assess their performance on </w:t>
      </w:r>
      <w:r w:rsidR="00025F4E">
        <w:rPr>
          <w:rFonts w:ascii="Arial" w:eastAsiaTheme="minorEastAsia" w:hAnsi="Arial" w:cs="Arial"/>
          <w:sz w:val="20"/>
          <w:szCs w:val="20"/>
          <w:lang w:eastAsia="en-US"/>
        </w:rPr>
        <w:t xml:space="preserve">two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model bioenergy hardwoods</w:t>
      </w:r>
      <w:r w:rsidR="00025F4E">
        <w:rPr>
          <w:rFonts w:ascii="Arial" w:eastAsiaTheme="minorEastAsia" w:hAnsi="Arial" w:cs="Arial"/>
          <w:sz w:val="20"/>
          <w:szCs w:val="20"/>
          <w:lang w:eastAsia="en-US"/>
        </w:rPr>
        <w:t xml:space="preserve">,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eucalyptus and hybrid poplar. The </w:t>
      </w:r>
      <w:r w:rsidR="00EC1B91">
        <w:rPr>
          <w:rFonts w:ascii="Arial" w:eastAsiaTheme="minorEastAsia" w:hAnsi="Arial" w:cs="Arial"/>
          <w:sz w:val="20"/>
          <w:szCs w:val="20"/>
          <w:lang w:eastAsia="en-US"/>
        </w:rPr>
        <w:t xml:space="preserve">pretreatments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include</w:t>
      </w:r>
      <w:r w:rsidR="00EC1B91">
        <w:rPr>
          <w:rFonts w:ascii="Arial" w:eastAsiaTheme="minorEastAsia" w:hAnsi="Arial" w:cs="Arial"/>
          <w:sz w:val="20"/>
          <w:szCs w:val="20"/>
          <w:lang w:eastAsia="en-US"/>
        </w:rPr>
        <w:t>d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co-solvent</w:t>
      </w:r>
      <w:r w:rsidR="00EC1B91">
        <w:rPr>
          <w:rFonts w:ascii="Arial" w:eastAsiaTheme="minorEastAsia" w:hAnsi="Arial" w:cs="Arial"/>
          <w:sz w:val="20"/>
          <w:szCs w:val="20"/>
          <w:lang w:eastAsia="en-US"/>
        </w:rPr>
        <w:t>-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enhanced lignocellulosic fractionation (CELF), pretreatment with an ionic liquid using potentially biomass</w:t>
      </w:r>
      <w:r w:rsidR="00EC1B91">
        <w:rPr>
          <w:rFonts w:ascii="Arial" w:eastAsiaTheme="minorEastAsia" w:hAnsi="Arial" w:cs="Arial"/>
          <w:sz w:val="20"/>
          <w:szCs w:val="20"/>
          <w:lang w:eastAsia="en-US"/>
        </w:rPr>
        <w:t>-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derived components (</w:t>
      </w:r>
      <w:proofErr w:type="spellStart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>cholinium</w:t>
      </w:r>
      <w:proofErr w:type="spellEnd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proofErr w:type="spellStart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>lysinate</w:t>
      </w:r>
      <w:proofErr w:type="spellEnd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or [Ch][Lys]), and two-stage </w:t>
      </w:r>
      <w:r w:rsidR="00EC1B91">
        <w:rPr>
          <w:rFonts w:ascii="Arial" w:eastAsiaTheme="minorEastAsia" w:hAnsi="Arial" w:cs="Arial"/>
          <w:sz w:val="20"/>
          <w:szCs w:val="20"/>
          <w:lang w:eastAsia="en-US"/>
        </w:rPr>
        <w:t>copper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-catalyzed alkaline hydrogen peroxide pretreatment (Cu-AHP). For each feedstock, the pretreatments were assessed for </w:t>
      </w:r>
      <w:r w:rsidR="00BB1EF1">
        <w:rPr>
          <w:rFonts w:ascii="Arial" w:eastAsiaTheme="minorEastAsia" w:hAnsi="Arial" w:cs="Arial"/>
          <w:sz w:val="20"/>
          <w:szCs w:val="20"/>
          <w:lang w:eastAsia="en-US"/>
        </w:rPr>
        <w:t xml:space="preserve">how well they solubilized </w:t>
      </w:r>
      <w:r w:rsidR="0070440B">
        <w:rPr>
          <w:rFonts w:ascii="Arial" w:eastAsiaTheme="minorEastAsia" w:hAnsi="Arial" w:cs="Arial"/>
          <w:sz w:val="20"/>
          <w:szCs w:val="20"/>
          <w:lang w:eastAsia="en-US"/>
        </w:rPr>
        <w:t>two abundant components of plant cells,</w:t>
      </w:r>
      <w:r w:rsidR="0070440B" w:rsidRPr="002A2617" w:rsidDel="00BB1EF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lignin and xylan</w:t>
      </w:r>
      <w:r w:rsidR="00B6113A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="00BB1EF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B6113A">
        <w:rPr>
          <w:rFonts w:ascii="Arial" w:eastAsiaTheme="minorEastAsia" w:hAnsi="Arial" w:cs="Arial"/>
          <w:sz w:val="20"/>
          <w:szCs w:val="20"/>
          <w:lang w:eastAsia="en-US"/>
        </w:rPr>
        <w:t>E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nzymatic hydrolysis yields</w:t>
      </w:r>
      <w:r w:rsidR="00B6113A">
        <w:rPr>
          <w:rFonts w:ascii="Arial" w:eastAsiaTheme="minorEastAsia" w:hAnsi="Arial" w:cs="Arial"/>
          <w:sz w:val="20"/>
          <w:szCs w:val="20"/>
          <w:lang w:eastAsia="en-US"/>
        </w:rPr>
        <w:t xml:space="preserve"> of glucose and xylose were evaluated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as a function of enzyme loading. </w:t>
      </w:r>
      <w:r w:rsidR="00B6113A">
        <w:rPr>
          <w:rFonts w:ascii="Arial" w:eastAsiaTheme="minorEastAsia" w:hAnsi="Arial" w:cs="Arial"/>
          <w:sz w:val="20"/>
          <w:szCs w:val="20"/>
          <w:lang w:eastAsia="en-US"/>
        </w:rPr>
        <w:t xml:space="preserve">Finally, </w:t>
      </w:r>
      <w:proofErr w:type="spellStart"/>
      <w:r w:rsidR="00B6113A">
        <w:rPr>
          <w:rFonts w:ascii="Arial" w:eastAsiaTheme="minorEastAsia" w:hAnsi="Arial" w:cs="Arial"/>
          <w:sz w:val="20"/>
          <w:szCs w:val="20"/>
          <w:lang w:eastAsia="en-US"/>
        </w:rPr>
        <w:t>l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ignins</w:t>
      </w:r>
      <w:proofErr w:type="spellEnd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recovered from the pretreatments were characterized for polysaccharide content, molar mass distributions, </w:t>
      </w:r>
      <w:r w:rsidRPr="002A2617">
        <w:rPr>
          <w:rFonts w:ascii="Arial" w:hAnsi="Arial" w:cs="Arial"/>
          <w:sz w:val="20"/>
          <w:szCs w:val="20"/>
        </w:rPr>
        <w:t xml:space="preserve">β-aryl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ether content, and response to depolymerization by </w:t>
      </w:r>
      <w:proofErr w:type="spellStart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>thioacidolysis</w:t>
      </w:r>
      <w:proofErr w:type="spellEnd"/>
      <w:r w:rsidR="00ED4E37">
        <w:rPr>
          <w:rFonts w:ascii="Arial" w:eastAsiaTheme="minorEastAsia" w:hAnsi="Arial" w:cs="Arial"/>
          <w:sz w:val="20"/>
          <w:szCs w:val="20"/>
          <w:lang w:eastAsia="en-US"/>
        </w:rPr>
        <w:t xml:space="preserve"> as a way to assess their potential for additional uses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5D0C36B0" w14:textId="77777777" w:rsidR="00541228" w:rsidRDefault="00541228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2618DB58" w14:textId="0766147B" w:rsidR="00EB4187" w:rsidRDefault="002A2617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A2617">
        <w:rPr>
          <w:rFonts w:ascii="Arial" w:eastAsiaTheme="minorEastAsia" w:hAnsi="Arial" w:cs="Arial"/>
          <w:sz w:val="20"/>
          <w:szCs w:val="20"/>
          <w:lang w:eastAsia="en-US"/>
        </w:rPr>
        <w:t>All three pretreatments resulted in significant solubilization of lignin and xylan</w:t>
      </w:r>
      <w:r w:rsidR="00EC1B91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with the CELF pretreatment solubilizing the majority of both biopolymer categories. Enzymatic hydrolysis yields </w:t>
      </w:r>
      <w:r w:rsidR="00ED4E37">
        <w:rPr>
          <w:rFonts w:ascii="Arial" w:eastAsiaTheme="minorEastAsia" w:hAnsi="Arial" w:cs="Arial"/>
          <w:sz w:val="20"/>
          <w:szCs w:val="20"/>
          <w:lang w:eastAsia="en-US"/>
        </w:rPr>
        <w:t>showed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a strong, positive correlation to the lignin solubilized for the low enzyme loadings. </w:t>
      </w:r>
      <w:r w:rsidR="00EB4187">
        <w:rPr>
          <w:rFonts w:ascii="Arial" w:eastAsiaTheme="minorEastAsia" w:hAnsi="Arial" w:cs="Arial"/>
          <w:sz w:val="20"/>
          <w:szCs w:val="20"/>
          <w:lang w:eastAsia="en-US"/>
        </w:rPr>
        <w:t xml:space="preserve">All three strategies achieved high hydrolysis yields (~80%) for poplar and lower yields for eucalyptus.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[Ch][Lys]-pretreated </w:t>
      </w:r>
      <w:r w:rsidR="00EB4187">
        <w:rPr>
          <w:rFonts w:ascii="Arial" w:eastAsiaTheme="minorEastAsia" w:hAnsi="Arial" w:cs="Arial"/>
          <w:sz w:val="20"/>
          <w:szCs w:val="20"/>
          <w:lang w:eastAsia="en-US"/>
        </w:rPr>
        <w:t>eucalyptus</w:t>
      </w:r>
      <w:r w:rsidR="00EB4187"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EB4187">
        <w:rPr>
          <w:rFonts w:ascii="Arial" w:eastAsiaTheme="minorEastAsia" w:hAnsi="Arial" w:cs="Arial"/>
          <w:sz w:val="20"/>
          <w:szCs w:val="20"/>
          <w:lang w:eastAsia="en-US"/>
        </w:rPr>
        <w:t xml:space="preserve">gave substantially lower hydrolysis yields, possibly due to soluble </w:t>
      </w:r>
      <w:r w:rsidR="00EB4187"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pretreatment-derived </w:t>
      </w:r>
      <w:r w:rsidR="00EB4187">
        <w:rPr>
          <w:rFonts w:ascii="Arial" w:eastAsiaTheme="minorEastAsia" w:hAnsi="Arial" w:cs="Arial"/>
          <w:sz w:val="20"/>
          <w:szCs w:val="20"/>
          <w:lang w:eastAsia="en-US"/>
        </w:rPr>
        <w:t xml:space="preserve">enzyme inhibitors that may have been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carried forward into hydrolysis for this pretreatment. </w:t>
      </w:r>
    </w:p>
    <w:p w14:paraId="77E81D5A" w14:textId="77777777" w:rsidR="00EB4187" w:rsidRDefault="00EB4187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38010A50" w14:textId="689A7AE9" w:rsidR="002A2617" w:rsidRPr="002A2617" w:rsidRDefault="002A2617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The pretreatment-solubilized </w:t>
      </w:r>
      <w:proofErr w:type="spellStart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>lignins</w:t>
      </w:r>
      <w:proofErr w:type="spellEnd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exhibited significant differences in polysaccharide content, molar mass distributions, aromatic monomer yield by </w:t>
      </w:r>
      <w:proofErr w:type="spellStart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>thioacidolysis</w:t>
      </w:r>
      <w:proofErr w:type="spellEnd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, and </w:t>
      </w:r>
      <w:r w:rsidRPr="002A2617">
        <w:rPr>
          <w:rFonts w:ascii="Arial" w:hAnsi="Arial" w:cs="Arial"/>
          <w:sz w:val="20"/>
          <w:szCs w:val="20"/>
        </w:rPr>
        <w:t xml:space="preserve">β-aryl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ether content. Key trends include a substantially higher polysaccharide content in the </w:t>
      </w:r>
      <w:proofErr w:type="spellStart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>lignins</w:t>
      </w:r>
      <w:proofErr w:type="spellEnd"/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recovered from the [Ch][Lys] pretreatment and high </w:t>
      </w:r>
      <w:r w:rsidRPr="002A2617">
        <w:rPr>
          <w:rFonts w:ascii="Arial" w:hAnsi="Arial" w:cs="Arial"/>
          <w:sz w:val="20"/>
          <w:szCs w:val="20"/>
        </w:rPr>
        <w:t xml:space="preserve">β-aryl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ether content and aromatic monomer yield from the Cu-AHP pretreatment. For all </w:t>
      </w:r>
      <w:r w:rsidR="00FF0A3D">
        <w:rPr>
          <w:rFonts w:ascii="Arial" w:eastAsiaTheme="minorEastAsia" w:hAnsi="Arial" w:cs="Arial"/>
          <w:sz w:val="20"/>
          <w:szCs w:val="20"/>
          <w:lang w:eastAsia="en-US"/>
        </w:rPr>
        <w:t>strategies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, </w:t>
      </w:r>
      <w:r w:rsidRPr="002A2617">
        <w:rPr>
          <w:rFonts w:ascii="Arial" w:hAnsi="Arial" w:cs="Arial"/>
          <w:sz w:val="20"/>
          <w:szCs w:val="20"/>
        </w:rPr>
        <w:t xml:space="preserve">β-aryl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ether content was correlated </w:t>
      </w:r>
      <w:r w:rsidR="00FF0A3D">
        <w:rPr>
          <w:rFonts w:ascii="Arial" w:eastAsiaTheme="minorEastAsia" w:hAnsi="Arial" w:cs="Arial"/>
          <w:sz w:val="20"/>
          <w:szCs w:val="20"/>
          <w:lang w:eastAsia="en-US"/>
        </w:rPr>
        <w:t>with</w:t>
      </w:r>
      <w:r w:rsidR="00FF0A3D"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monomer yield </w:t>
      </w:r>
      <w:r w:rsidR="00FF0A3D">
        <w:rPr>
          <w:rFonts w:ascii="Arial" w:eastAsiaTheme="minorEastAsia" w:hAnsi="Arial" w:cs="Arial"/>
          <w:sz w:val="20"/>
          <w:szCs w:val="20"/>
          <w:lang w:eastAsia="en-US"/>
        </w:rPr>
        <w:t>and</w:t>
      </w:r>
      <w:r w:rsidR="00823693"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modification of lignin during pretreatment, particularly cleavage of </w:t>
      </w:r>
      <w:r w:rsidR="00823693" w:rsidRPr="002A2617">
        <w:rPr>
          <w:rFonts w:ascii="Arial" w:hAnsi="Arial" w:cs="Arial"/>
          <w:sz w:val="20"/>
          <w:szCs w:val="20"/>
        </w:rPr>
        <w:t xml:space="preserve">β-aryl </w:t>
      </w:r>
      <w:r w:rsidR="00823693"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ether bonds, </w:t>
      </w:r>
      <w:r w:rsidR="00FF0A3D">
        <w:rPr>
          <w:rFonts w:ascii="Arial" w:eastAsiaTheme="minorEastAsia" w:hAnsi="Arial" w:cs="Arial"/>
          <w:sz w:val="20"/>
          <w:szCs w:val="20"/>
          <w:lang w:eastAsia="en-US"/>
        </w:rPr>
        <w:t>was</w:t>
      </w:r>
      <w:r w:rsidR="00823693"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detrimental to subsequent depolymerization.</w:t>
      </w:r>
    </w:p>
    <w:p w14:paraId="2B2EB29C" w14:textId="77777777" w:rsidR="00541228" w:rsidRDefault="00541228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04E5C034" w14:textId="18A398CD" w:rsidR="002A2617" w:rsidRPr="002A2617" w:rsidRDefault="002A2617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Overall, the three pretreatments highlighted in this study </w:t>
      </w:r>
      <w:r w:rsidR="00823693">
        <w:rPr>
          <w:rFonts w:ascii="Arial" w:eastAsiaTheme="minorEastAsia" w:hAnsi="Arial" w:cs="Arial"/>
          <w:sz w:val="20"/>
          <w:szCs w:val="20"/>
          <w:lang w:eastAsia="en-US"/>
        </w:rPr>
        <w:t>showed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different </w:t>
      </w:r>
      <w:r w:rsidR="00823693">
        <w:rPr>
          <w:rFonts w:ascii="Arial" w:eastAsiaTheme="minorEastAsia" w:hAnsi="Arial" w:cs="Arial"/>
          <w:sz w:val="20"/>
          <w:szCs w:val="20"/>
          <w:lang w:eastAsia="en-US"/>
        </w:rPr>
        <w:t>capabilities to</w:t>
      </w:r>
      <w:r w:rsidR="00823693"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reduc</w:t>
      </w:r>
      <w:r w:rsidR="00823693">
        <w:rPr>
          <w:rFonts w:ascii="Arial" w:eastAsiaTheme="minorEastAsia" w:hAnsi="Arial" w:cs="Arial"/>
          <w:sz w:val="20"/>
          <w:szCs w:val="20"/>
          <w:lang w:eastAsia="en-US"/>
        </w:rPr>
        <w:t>e</w:t>
      </w:r>
      <w:r w:rsidR="00823693"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2A2617">
        <w:rPr>
          <w:rFonts w:ascii="Arial" w:eastAsiaTheme="minorEastAsia" w:hAnsi="Arial" w:cs="Arial"/>
          <w:sz w:val="20"/>
          <w:szCs w:val="20"/>
          <w:lang w:eastAsia="en-US"/>
        </w:rPr>
        <w:t xml:space="preserve">biomass recalcitrance and </w:t>
      </w:r>
      <w:r w:rsidR="00823693">
        <w:rPr>
          <w:rFonts w:ascii="Arial" w:eastAsiaTheme="minorEastAsia" w:hAnsi="Arial" w:cs="Arial"/>
          <w:sz w:val="20"/>
          <w:szCs w:val="20"/>
          <w:lang w:eastAsia="en-US"/>
        </w:rPr>
        <w:t>prepare woody biomass for further bioprocessing.</w:t>
      </w:r>
    </w:p>
    <w:p w14:paraId="67BA0F4F" w14:textId="77777777" w:rsidR="00290CE3" w:rsidRPr="00620528" w:rsidRDefault="00290CE3" w:rsidP="003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88836D" w14:textId="77777777" w:rsidR="008C337F" w:rsidRPr="004931C3" w:rsidRDefault="008C337F" w:rsidP="008A42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4B694F98" w14:textId="0511EE6C" w:rsidR="008C337F" w:rsidRPr="008C337F" w:rsidRDefault="005332DD" w:rsidP="00984760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3AFC5E42" w:rsidR="00984760" w:rsidRPr="00B145BE" w:rsidRDefault="00BB10B5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Corresponding Authors</w:t>
      </w:r>
    </w:p>
    <w:p w14:paraId="1B8AB768" w14:textId="21B22063" w:rsidR="00D40628" w:rsidRPr="00D40628" w:rsidRDefault="00D40628" w:rsidP="00D40628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David B. Hodge</w:t>
      </w:r>
      <w:r w:rsidRPr="00B145BE">
        <w:rPr>
          <w:rFonts w:ascii="Arial" w:hAnsi="Arial" w:cs="Arial"/>
          <w:color w:val="363636"/>
          <w:sz w:val="20"/>
          <w:szCs w:val="20"/>
        </w:rPr>
        <w:t xml:space="preserve"> </w:t>
      </w:r>
      <w:r w:rsidRPr="00B145BE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39649787"/>
          <w:placeholder>
            <w:docPart w:val="A407AFB42876A1429E313D11EEF8880C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Montana State University</w:t>
          </w:r>
        </w:sdtContent>
      </w:sdt>
      <w:r w:rsidRPr="00B145BE">
        <w:rPr>
          <w:rFonts w:ascii="Arial" w:hAnsi="Arial" w:cs="Arial"/>
          <w:color w:val="363636"/>
          <w:sz w:val="20"/>
          <w:szCs w:val="20"/>
        </w:rPr>
        <w:br/>
      </w:r>
      <w:hyperlink r:id="rId12" w:history="1">
        <w:r w:rsidRPr="009E0271">
          <w:rPr>
            <w:rStyle w:val="Hyperlink"/>
            <w:rFonts w:ascii="Arial" w:hAnsi="Arial" w:cs="Arial"/>
            <w:sz w:val="20"/>
            <w:szCs w:val="20"/>
          </w:rPr>
          <w:t>david.hodge3@montana.edu</w:t>
        </w:r>
      </w:hyperlink>
    </w:p>
    <w:p w14:paraId="48B9FFA5" w14:textId="1D45395F" w:rsidR="006E61C8" w:rsidRPr="00B145BE" w:rsidRDefault="00EC1B91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 xml:space="preserve">Eric </w:t>
      </w:r>
      <w:proofErr w:type="spellStart"/>
      <w:r>
        <w:rPr>
          <w:rFonts w:ascii="Arial" w:hAnsi="Arial" w:cs="Arial"/>
          <w:color w:val="363636"/>
          <w:sz w:val="20"/>
          <w:szCs w:val="20"/>
        </w:rPr>
        <w:t>Hegg</w:t>
      </w:r>
      <w:proofErr w:type="spellEnd"/>
      <w:r w:rsidR="00C36F69" w:rsidRPr="00B145BE">
        <w:rPr>
          <w:rFonts w:ascii="Arial" w:hAnsi="Arial" w:cs="Arial"/>
          <w:color w:val="363636"/>
          <w:sz w:val="20"/>
          <w:szCs w:val="20"/>
        </w:rPr>
        <w:t xml:space="preserve"> </w:t>
      </w:r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 w:rsidR="00D40628">
            <w:rPr>
              <w:rFonts w:ascii="Arial" w:hAnsi="Arial" w:cs="Arial"/>
              <w:color w:val="363636"/>
              <w:sz w:val="20"/>
              <w:szCs w:val="20"/>
            </w:rPr>
            <w:t>Michigan State University</w:t>
          </w:r>
        </w:sdtContent>
      </w:sdt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hyperlink r:id="rId13" w:history="1">
        <w:r w:rsidR="00D40628" w:rsidRPr="009E0271">
          <w:rPr>
            <w:rStyle w:val="Hyperlink"/>
            <w:rFonts w:ascii="Arial" w:hAnsi="Arial" w:cs="Arial"/>
            <w:sz w:val="20"/>
            <w:szCs w:val="20"/>
          </w:rPr>
          <w:t>eric.hegg@msu.edu</w:t>
        </w:r>
      </w:hyperlink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1E2D9D55" w14:textId="2B588957" w:rsidR="00252EC2" w:rsidRPr="00D40628" w:rsidRDefault="007B274B" w:rsidP="00D4062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BB10B5" w:rsidRPr="00D40628">
        <w:rPr>
          <w:rFonts w:ascii="Arial" w:eastAsiaTheme="minorEastAsia" w:hAnsi="Arial" w:cs="Arial"/>
          <w:sz w:val="20"/>
          <w:szCs w:val="20"/>
          <w:lang w:eastAsia="en-US"/>
        </w:rPr>
        <w:t xml:space="preserve">This work was supported </w:t>
      </w:r>
      <w:r w:rsidR="00BB10B5" w:rsidRPr="00BB10B5">
        <w:rPr>
          <w:rFonts w:ascii="Arial" w:eastAsiaTheme="minorEastAsia" w:hAnsi="Arial" w:cs="Arial"/>
          <w:sz w:val="20"/>
          <w:szCs w:val="20"/>
          <w:lang w:eastAsia="en-US"/>
        </w:rPr>
        <w:t xml:space="preserve">by the Great Lakes Bioenergy Research Center, U.S. Department of Energy, Office of Science, Office of Biological and Environmental Research under Award Numbers DE-SC0018409 and DE-FC02-07ER64494. The work was also supported by the </w:t>
      </w:r>
      <w:r w:rsidR="00BB10B5" w:rsidRPr="00D40628">
        <w:rPr>
          <w:rFonts w:ascii="Arial" w:eastAsiaTheme="minorEastAsia" w:hAnsi="Arial" w:cs="Arial"/>
          <w:sz w:val="20"/>
          <w:szCs w:val="20"/>
          <w:lang w:eastAsia="en-US"/>
        </w:rPr>
        <w:t xml:space="preserve">Center </w:t>
      </w:r>
      <w:r w:rsidR="00BB10B5">
        <w:rPr>
          <w:rFonts w:ascii="Arial" w:eastAsiaTheme="minorEastAsia" w:hAnsi="Arial" w:cs="Arial"/>
          <w:sz w:val="20"/>
          <w:szCs w:val="20"/>
          <w:lang w:eastAsia="en-US"/>
        </w:rPr>
        <w:t xml:space="preserve">for </w:t>
      </w:r>
      <w:r w:rsidR="00BB10B5" w:rsidRPr="00D40628">
        <w:rPr>
          <w:rFonts w:ascii="Arial" w:eastAsiaTheme="minorEastAsia" w:hAnsi="Arial" w:cs="Arial"/>
          <w:sz w:val="20"/>
          <w:szCs w:val="20"/>
          <w:lang w:eastAsia="en-US"/>
        </w:rPr>
        <w:t>Bioenergy</w:t>
      </w:r>
      <w:r w:rsidR="00BB10B5">
        <w:rPr>
          <w:rFonts w:ascii="Arial" w:hAnsi="Arial" w:cs="Arial"/>
          <w:sz w:val="20"/>
          <w:szCs w:val="20"/>
        </w:rPr>
        <w:t xml:space="preserve"> </w:t>
      </w:r>
      <w:r w:rsidR="00BB10B5" w:rsidRPr="00D40628">
        <w:rPr>
          <w:rFonts w:ascii="Arial" w:eastAsiaTheme="minorEastAsia" w:hAnsi="Arial" w:cs="Arial"/>
          <w:sz w:val="20"/>
          <w:szCs w:val="20"/>
          <w:lang w:eastAsia="en-US"/>
        </w:rPr>
        <w:t>Innovation (DOE BER DE-AC05-00OR22725)</w:t>
      </w:r>
      <w:r w:rsidR="00BB10B5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BB10B5" w:rsidRPr="00BB10B5">
        <w:rPr>
          <w:rFonts w:ascii="Arial" w:eastAsiaTheme="minorEastAsia" w:hAnsi="Arial" w:cs="Arial"/>
          <w:sz w:val="20"/>
          <w:szCs w:val="20"/>
          <w:lang w:eastAsia="en-US"/>
        </w:rPr>
        <w:t xml:space="preserve">and the </w:t>
      </w:r>
      <w:r w:rsidR="00BB10B5" w:rsidRPr="00D40628">
        <w:rPr>
          <w:rFonts w:ascii="Arial" w:eastAsiaTheme="minorEastAsia" w:hAnsi="Arial" w:cs="Arial"/>
          <w:sz w:val="20"/>
          <w:szCs w:val="20"/>
          <w:lang w:eastAsia="en-US"/>
        </w:rPr>
        <w:t xml:space="preserve">Joint </w:t>
      </w:r>
      <w:proofErr w:type="spellStart"/>
      <w:r w:rsidR="00BB10B5" w:rsidRPr="00D40628">
        <w:rPr>
          <w:rFonts w:ascii="Arial" w:eastAsiaTheme="minorEastAsia" w:hAnsi="Arial" w:cs="Arial"/>
          <w:sz w:val="20"/>
          <w:szCs w:val="20"/>
          <w:lang w:eastAsia="en-US"/>
        </w:rPr>
        <w:t>BioEnergy</w:t>
      </w:r>
      <w:proofErr w:type="spellEnd"/>
      <w:r w:rsidR="00BB10B5" w:rsidRPr="00D40628">
        <w:rPr>
          <w:rFonts w:ascii="Arial" w:eastAsiaTheme="minorEastAsia" w:hAnsi="Arial" w:cs="Arial"/>
          <w:sz w:val="20"/>
          <w:szCs w:val="20"/>
          <w:lang w:eastAsia="en-US"/>
        </w:rPr>
        <w:t xml:space="preserve"> Institute (DOE BER</w:t>
      </w:r>
      <w:r w:rsidR="00BB10B5">
        <w:rPr>
          <w:rFonts w:ascii="Arial" w:hAnsi="Arial" w:cs="Arial"/>
          <w:sz w:val="20"/>
          <w:szCs w:val="20"/>
        </w:rPr>
        <w:t xml:space="preserve"> </w:t>
      </w:r>
      <w:r w:rsidR="00BB10B5" w:rsidRPr="00D40628">
        <w:rPr>
          <w:rFonts w:ascii="Arial" w:eastAsiaTheme="minorEastAsia" w:hAnsi="Arial" w:cs="Arial"/>
          <w:sz w:val="20"/>
          <w:szCs w:val="20"/>
          <w:lang w:eastAsia="en-US"/>
        </w:rPr>
        <w:t>DE-AC02-05CH11231</w:t>
      </w:r>
      <w:r w:rsidR="00BB10B5">
        <w:rPr>
          <w:rFonts w:ascii="Arial" w:eastAsiaTheme="minorEastAsia" w:hAnsi="Arial" w:cs="Arial"/>
          <w:sz w:val="20"/>
          <w:szCs w:val="20"/>
          <w:lang w:eastAsia="en-US"/>
        </w:rPr>
        <w:t>).</w:t>
      </w:r>
    </w:p>
    <w:p w14:paraId="0737A780" w14:textId="18FA958D" w:rsidR="001A78CD" w:rsidRPr="0039130D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47F2ED" w14:textId="77777777" w:rsidR="008C337F" w:rsidRPr="00252EC2" w:rsidRDefault="008C337F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4C70A86F" w:rsidR="00984760" w:rsidRPr="00B145BE" w:rsidRDefault="008C337F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Publications</w:t>
      </w:r>
      <w:r w:rsidRPr="00B145BE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47F62B84" w14:textId="4D9A8EBB" w:rsidR="00E86A49" w:rsidRDefault="00D40628" w:rsidP="00D40628">
      <w:pPr>
        <w:rPr>
          <w:rFonts w:ascii="Arial" w:hAnsi="Arial" w:cs="Arial"/>
          <w:sz w:val="20"/>
          <w:szCs w:val="20"/>
          <w:lang w:val="fr-FR" w:eastAsia="en-US"/>
        </w:rPr>
      </w:pPr>
      <w:r>
        <w:rPr>
          <w:rFonts w:ascii="Arial" w:hAnsi="Arial" w:cs="Arial"/>
          <w:sz w:val="20"/>
          <w:szCs w:val="20"/>
          <w:lang w:val="fr-FR" w:eastAsia="en-US"/>
        </w:rPr>
        <w:t xml:space="preserve">A. </w:t>
      </w:r>
      <w:proofErr w:type="spellStart"/>
      <w:r>
        <w:rPr>
          <w:rFonts w:ascii="Arial" w:hAnsi="Arial" w:cs="Arial"/>
          <w:sz w:val="20"/>
          <w:szCs w:val="20"/>
          <w:lang w:val="fr-FR" w:eastAsia="en-US"/>
        </w:rPr>
        <w:t>Bhalla</w:t>
      </w:r>
      <w:proofErr w:type="spellEnd"/>
      <w:r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="005E04E7" w:rsidRPr="00D0561B">
        <w:rPr>
          <w:rFonts w:ascii="Arial" w:hAnsi="Arial" w:cs="Arial"/>
          <w:i/>
          <w:iCs/>
          <w:sz w:val="20"/>
          <w:szCs w:val="20"/>
          <w:lang w:val="fr-FR" w:eastAsia="en-US"/>
        </w:rPr>
        <w:t>et al.</w:t>
      </w:r>
      <w:r w:rsidR="005E04E7" w:rsidRPr="00D0561B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="005E04E7" w:rsidRPr="00D0561B">
        <w:rPr>
          <w:rFonts w:ascii="Arial" w:hAnsi="Arial" w:cs="Arial"/>
          <w:sz w:val="20"/>
          <w:szCs w:val="20"/>
          <w:lang w:eastAsia="en-US"/>
        </w:rPr>
        <w:t>“</w:t>
      </w:r>
      <w:r w:rsidRPr="00D40628">
        <w:rPr>
          <w:rFonts w:ascii="Arial" w:hAnsi="Arial" w:cs="Arial"/>
          <w:sz w:val="20"/>
          <w:szCs w:val="20"/>
          <w:lang w:eastAsia="en-US"/>
        </w:rPr>
        <w:t>Performance of three delignifying pretreatments on hardwoods: hydrolysis yields, comprehensive mass balances, and lignin properties</w:t>
      </w:r>
      <w:r w:rsidRPr="00D40628">
        <w:rPr>
          <w:rFonts w:ascii="Arial" w:hAnsi="Arial" w:cs="Arial"/>
          <w:sz w:val="20"/>
          <w:szCs w:val="20"/>
          <w:lang w:val="fr-FR" w:eastAsia="en-US"/>
        </w:rPr>
        <w:t xml:space="preserve">.” </w:t>
      </w:r>
      <w:proofErr w:type="spellStart"/>
      <w:r w:rsidRPr="00D40628">
        <w:rPr>
          <w:rFonts w:ascii="Arial" w:hAnsi="Arial" w:cs="Arial"/>
          <w:i/>
          <w:iCs/>
          <w:sz w:val="20"/>
          <w:szCs w:val="20"/>
          <w:lang w:val="fr-FR" w:eastAsia="en-US"/>
        </w:rPr>
        <w:t>Biotec</w:t>
      </w:r>
      <w:r w:rsidR="004D38F0">
        <w:rPr>
          <w:rFonts w:ascii="Arial" w:hAnsi="Arial" w:cs="Arial"/>
          <w:i/>
          <w:iCs/>
          <w:sz w:val="20"/>
          <w:szCs w:val="20"/>
          <w:lang w:val="fr-FR" w:eastAsia="en-US"/>
        </w:rPr>
        <w:t>hnol</w:t>
      </w:r>
      <w:proofErr w:type="spellEnd"/>
      <w:r w:rsidRPr="00D40628">
        <w:rPr>
          <w:rFonts w:ascii="Arial" w:hAnsi="Arial" w:cs="Arial"/>
          <w:i/>
          <w:iCs/>
          <w:sz w:val="20"/>
          <w:szCs w:val="20"/>
          <w:lang w:val="fr-FR" w:eastAsia="en-US"/>
        </w:rPr>
        <w:t xml:space="preserve"> </w:t>
      </w:r>
      <w:proofErr w:type="spellStart"/>
      <w:r w:rsidRPr="00D40628">
        <w:rPr>
          <w:rFonts w:ascii="Arial" w:hAnsi="Arial" w:cs="Arial"/>
          <w:i/>
          <w:iCs/>
          <w:sz w:val="20"/>
          <w:szCs w:val="20"/>
          <w:lang w:val="fr-FR" w:eastAsia="en-US"/>
        </w:rPr>
        <w:t>Biofuels</w:t>
      </w:r>
      <w:proofErr w:type="spellEnd"/>
      <w:r w:rsidRPr="00D40628">
        <w:rPr>
          <w:rFonts w:ascii="Arial" w:hAnsi="Arial" w:cs="Arial"/>
          <w:sz w:val="20"/>
          <w:szCs w:val="20"/>
          <w:lang w:val="fr-FR" w:eastAsia="en-US"/>
        </w:rPr>
        <w:t xml:space="preserve"> (2019). </w:t>
      </w:r>
      <w:r w:rsidR="00F9395F" w:rsidRPr="00F9395F">
        <w:rPr>
          <w:rFonts w:ascii="Arial" w:hAnsi="Arial" w:cs="Arial"/>
          <w:b/>
          <w:bCs/>
          <w:sz w:val="20"/>
          <w:szCs w:val="20"/>
          <w:lang w:val="fr-FR" w:eastAsia="en-US"/>
        </w:rPr>
        <w:t>12</w:t>
      </w:r>
      <w:r w:rsidR="00F9395F">
        <w:rPr>
          <w:rFonts w:ascii="Arial" w:hAnsi="Arial" w:cs="Arial"/>
          <w:sz w:val="20"/>
          <w:szCs w:val="20"/>
          <w:lang w:val="fr-FR" w:eastAsia="en-US"/>
        </w:rPr>
        <w:t xml:space="preserve">, 213 </w:t>
      </w:r>
      <w:r>
        <w:rPr>
          <w:rFonts w:ascii="Arial" w:hAnsi="Arial" w:cs="Arial"/>
          <w:sz w:val="20"/>
          <w:szCs w:val="20"/>
          <w:lang w:val="fr-FR" w:eastAsia="en-US"/>
        </w:rPr>
        <w:t>[</w:t>
      </w:r>
      <w:proofErr w:type="gramStart"/>
      <w:r>
        <w:rPr>
          <w:rFonts w:ascii="Arial" w:hAnsi="Arial" w:cs="Arial"/>
          <w:sz w:val="20"/>
          <w:szCs w:val="20"/>
          <w:lang w:val="fr-FR" w:eastAsia="en-US"/>
        </w:rPr>
        <w:t>DOI:</w:t>
      </w:r>
      <w:proofErr w:type="gramEnd"/>
      <w:r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="00B250AB" w:rsidRPr="00B250AB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10.1186/s13068-019-1546-0]</w:t>
      </w:r>
    </w:p>
    <w:p w14:paraId="27C6CEB0" w14:textId="77777777" w:rsidR="00D40628" w:rsidRPr="00D0561B" w:rsidRDefault="00D40628" w:rsidP="00D40628">
      <w:pPr>
        <w:rPr>
          <w:rFonts w:ascii="Arial" w:hAnsi="Arial" w:cs="Arial"/>
          <w:sz w:val="20"/>
          <w:szCs w:val="20"/>
        </w:rPr>
      </w:pPr>
    </w:p>
    <w:p w14:paraId="751908B6" w14:textId="77777777" w:rsidR="008C337F" w:rsidRPr="00D0561B" w:rsidRDefault="008C337F" w:rsidP="00B43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E6C75EE" w14:textId="622AA18D" w:rsidR="00D0561B" w:rsidRPr="00D0561B" w:rsidRDefault="00984760" w:rsidP="00D0561B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235B0D05" w14:textId="408F4009" w:rsidR="00226469" w:rsidRDefault="00967BC7" w:rsidP="00984760">
      <w:pPr>
        <w:spacing w:after="120"/>
        <w:rPr>
          <w:rStyle w:val="Hyperlink"/>
          <w:rFonts w:ascii="Arial" w:eastAsiaTheme="minorEastAsia" w:hAnsi="Arial" w:cs="Arial"/>
          <w:sz w:val="20"/>
          <w:szCs w:val="20"/>
          <w:lang w:eastAsia="en-US"/>
        </w:rPr>
      </w:pPr>
      <w:hyperlink r:id="rId14" w:history="1">
        <w:r w:rsidR="00F9395F" w:rsidRPr="006D262B">
          <w:rPr>
            <w:rStyle w:val="Hyperlink"/>
            <w:rFonts w:ascii="Arial" w:eastAsiaTheme="minorEastAsia" w:hAnsi="Arial" w:cs="Arial"/>
            <w:sz w:val="20"/>
            <w:szCs w:val="20"/>
            <w:lang w:eastAsia="en-US"/>
          </w:rPr>
          <w:t>https://biotechnologyforbiofuels.biomedcentral.com/articles/10.1186/s13068-019-1546-0</w:t>
        </w:r>
      </w:hyperlink>
    </w:p>
    <w:p w14:paraId="52987DF9" w14:textId="77E446F8" w:rsidR="003B6393" w:rsidRDefault="003B6393" w:rsidP="00984760">
      <w:pPr>
        <w:spacing w:after="120"/>
        <w:rPr>
          <w:rFonts w:ascii="Arial" w:eastAsiaTheme="minorEastAsia" w:hAnsi="Arial" w:cs="Arial"/>
          <w:sz w:val="20"/>
          <w:szCs w:val="20"/>
          <w:lang w:eastAsia="en-US"/>
        </w:rPr>
      </w:pPr>
      <w:hyperlink r:id="rId15" w:history="1">
        <w:r w:rsidRPr="003B6393">
          <w:rPr>
            <w:rStyle w:val="Hyperlink"/>
            <w:rFonts w:ascii="Arial" w:eastAsiaTheme="minorEastAsia" w:hAnsi="Arial" w:cs="Arial"/>
            <w:sz w:val="20"/>
            <w:szCs w:val="20"/>
            <w:lang w:eastAsia="en-US"/>
          </w:rPr>
          <w:t>https://www.glbrc.org/research/highlights/different-biomass-pretreatment-strategies-give-different-hydrolysis-lignin</w:t>
        </w:r>
      </w:hyperlink>
      <w:bookmarkStart w:id="0" w:name="_GoBack"/>
      <w:bookmarkEnd w:id="0"/>
    </w:p>
    <w:p w14:paraId="35613D05" w14:textId="77777777" w:rsidR="00F9395F" w:rsidRPr="005E04E7" w:rsidRDefault="00F9395F" w:rsidP="00984760">
      <w:pPr>
        <w:spacing w:after="120"/>
        <w:rPr>
          <w:rFonts w:ascii="Arial" w:hAnsi="Arial" w:cs="Arial"/>
          <w:sz w:val="20"/>
          <w:szCs w:val="20"/>
        </w:rPr>
      </w:pP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BAE56" w14:textId="77777777" w:rsidR="00967BC7" w:rsidRDefault="00967BC7" w:rsidP="000B4810">
      <w:r>
        <w:separator/>
      </w:r>
    </w:p>
  </w:endnote>
  <w:endnote w:type="continuationSeparator" w:id="0">
    <w:p w14:paraId="6590880F" w14:textId="77777777" w:rsidR="00967BC7" w:rsidRDefault="00967BC7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74CA3" w14:textId="77777777" w:rsidR="00967BC7" w:rsidRDefault="00967BC7" w:rsidP="000B4810">
      <w:r>
        <w:separator/>
      </w:r>
    </w:p>
  </w:footnote>
  <w:footnote w:type="continuationSeparator" w:id="0">
    <w:p w14:paraId="333E5558" w14:textId="77777777" w:rsidR="00967BC7" w:rsidRDefault="00967BC7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246E"/>
    <w:rsid w:val="000030E6"/>
    <w:rsid w:val="000040DA"/>
    <w:rsid w:val="00005941"/>
    <w:rsid w:val="00010037"/>
    <w:rsid w:val="00015CE8"/>
    <w:rsid w:val="00015D92"/>
    <w:rsid w:val="00016807"/>
    <w:rsid w:val="0002029B"/>
    <w:rsid w:val="00023AB5"/>
    <w:rsid w:val="00024F17"/>
    <w:rsid w:val="00025F4E"/>
    <w:rsid w:val="00027552"/>
    <w:rsid w:val="00033874"/>
    <w:rsid w:val="00036E3F"/>
    <w:rsid w:val="00044254"/>
    <w:rsid w:val="00046418"/>
    <w:rsid w:val="000473F8"/>
    <w:rsid w:val="00047853"/>
    <w:rsid w:val="00047DF9"/>
    <w:rsid w:val="00047E65"/>
    <w:rsid w:val="00050EFF"/>
    <w:rsid w:val="00052DD1"/>
    <w:rsid w:val="000551B6"/>
    <w:rsid w:val="0006375A"/>
    <w:rsid w:val="00066B02"/>
    <w:rsid w:val="00067444"/>
    <w:rsid w:val="00067764"/>
    <w:rsid w:val="000702EC"/>
    <w:rsid w:val="00070C0A"/>
    <w:rsid w:val="000722D0"/>
    <w:rsid w:val="00073F7F"/>
    <w:rsid w:val="00077E2E"/>
    <w:rsid w:val="00080336"/>
    <w:rsid w:val="0008165F"/>
    <w:rsid w:val="00082CE2"/>
    <w:rsid w:val="0008316D"/>
    <w:rsid w:val="00084808"/>
    <w:rsid w:val="00086CA2"/>
    <w:rsid w:val="00094C20"/>
    <w:rsid w:val="000A0DAF"/>
    <w:rsid w:val="000A6139"/>
    <w:rsid w:val="000B1934"/>
    <w:rsid w:val="000B2858"/>
    <w:rsid w:val="000B4810"/>
    <w:rsid w:val="000B484E"/>
    <w:rsid w:val="000B5E70"/>
    <w:rsid w:val="000C0BC5"/>
    <w:rsid w:val="000C7654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1329C"/>
    <w:rsid w:val="001146E2"/>
    <w:rsid w:val="0011647C"/>
    <w:rsid w:val="001170AA"/>
    <w:rsid w:val="00121FBD"/>
    <w:rsid w:val="001269D6"/>
    <w:rsid w:val="0013113B"/>
    <w:rsid w:val="0013450F"/>
    <w:rsid w:val="00137504"/>
    <w:rsid w:val="00140BAC"/>
    <w:rsid w:val="001428C1"/>
    <w:rsid w:val="00144838"/>
    <w:rsid w:val="00146098"/>
    <w:rsid w:val="00152351"/>
    <w:rsid w:val="001554F9"/>
    <w:rsid w:val="001572B0"/>
    <w:rsid w:val="00157E56"/>
    <w:rsid w:val="00163BF7"/>
    <w:rsid w:val="001658A3"/>
    <w:rsid w:val="0016626D"/>
    <w:rsid w:val="00171166"/>
    <w:rsid w:val="00173E53"/>
    <w:rsid w:val="00175E67"/>
    <w:rsid w:val="001801DB"/>
    <w:rsid w:val="00182A15"/>
    <w:rsid w:val="00192A66"/>
    <w:rsid w:val="0019309B"/>
    <w:rsid w:val="001A0066"/>
    <w:rsid w:val="001A2094"/>
    <w:rsid w:val="001A2698"/>
    <w:rsid w:val="001A2CBE"/>
    <w:rsid w:val="001A3912"/>
    <w:rsid w:val="001A4F71"/>
    <w:rsid w:val="001A586C"/>
    <w:rsid w:val="001A746A"/>
    <w:rsid w:val="001A78CD"/>
    <w:rsid w:val="001B3229"/>
    <w:rsid w:val="001B4133"/>
    <w:rsid w:val="001B7B10"/>
    <w:rsid w:val="001C28D0"/>
    <w:rsid w:val="001D1BD5"/>
    <w:rsid w:val="001D23B9"/>
    <w:rsid w:val="001D66F0"/>
    <w:rsid w:val="001E3665"/>
    <w:rsid w:val="001F4F2C"/>
    <w:rsid w:val="001F5864"/>
    <w:rsid w:val="0020439D"/>
    <w:rsid w:val="00210229"/>
    <w:rsid w:val="0021148C"/>
    <w:rsid w:val="002119E5"/>
    <w:rsid w:val="00211CC7"/>
    <w:rsid w:val="0021623B"/>
    <w:rsid w:val="00216705"/>
    <w:rsid w:val="00226469"/>
    <w:rsid w:val="00226583"/>
    <w:rsid w:val="00226665"/>
    <w:rsid w:val="002328E7"/>
    <w:rsid w:val="00233DC8"/>
    <w:rsid w:val="00247EA0"/>
    <w:rsid w:val="00252EC2"/>
    <w:rsid w:val="0025497A"/>
    <w:rsid w:val="00257E2C"/>
    <w:rsid w:val="00261BB8"/>
    <w:rsid w:val="0026353A"/>
    <w:rsid w:val="0026391F"/>
    <w:rsid w:val="0026738D"/>
    <w:rsid w:val="00271149"/>
    <w:rsid w:val="00274E19"/>
    <w:rsid w:val="00277068"/>
    <w:rsid w:val="00283AB0"/>
    <w:rsid w:val="002859BA"/>
    <w:rsid w:val="00290B1F"/>
    <w:rsid w:val="00290CE3"/>
    <w:rsid w:val="00297D0A"/>
    <w:rsid w:val="002A2617"/>
    <w:rsid w:val="002A4086"/>
    <w:rsid w:val="002A5A42"/>
    <w:rsid w:val="002A7287"/>
    <w:rsid w:val="002A79E7"/>
    <w:rsid w:val="002B4BA1"/>
    <w:rsid w:val="002B5FA7"/>
    <w:rsid w:val="002C14C6"/>
    <w:rsid w:val="002C16DB"/>
    <w:rsid w:val="002C3836"/>
    <w:rsid w:val="002C40C6"/>
    <w:rsid w:val="002D32D0"/>
    <w:rsid w:val="002D4604"/>
    <w:rsid w:val="002D5D75"/>
    <w:rsid w:val="002D6C39"/>
    <w:rsid w:val="002D79F4"/>
    <w:rsid w:val="002E2C29"/>
    <w:rsid w:val="002E42A2"/>
    <w:rsid w:val="002E58C5"/>
    <w:rsid w:val="002F2C1E"/>
    <w:rsid w:val="002F4910"/>
    <w:rsid w:val="002F5604"/>
    <w:rsid w:val="002F5B5E"/>
    <w:rsid w:val="002F7D5D"/>
    <w:rsid w:val="00301EF1"/>
    <w:rsid w:val="0030496C"/>
    <w:rsid w:val="00314636"/>
    <w:rsid w:val="00315F10"/>
    <w:rsid w:val="00317B73"/>
    <w:rsid w:val="003224CD"/>
    <w:rsid w:val="00333723"/>
    <w:rsid w:val="00334F78"/>
    <w:rsid w:val="00336C25"/>
    <w:rsid w:val="00337F48"/>
    <w:rsid w:val="00350866"/>
    <w:rsid w:val="00352C6D"/>
    <w:rsid w:val="00352DEB"/>
    <w:rsid w:val="00352F4A"/>
    <w:rsid w:val="00355AA5"/>
    <w:rsid w:val="00355F66"/>
    <w:rsid w:val="00356030"/>
    <w:rsid w:val="00357450"/>
    <w:rsid w:val="00357B78"/>
    <w:rsid w:val="00364340"/>
    <w:rsid w:val="00374E8D"/>
    <w:rsid w:val="00376323"/>
    <w:rsid w:val="00383BB6"/>
    <w:rsid w:val="003874C0"/>
    <w:rsid w:val="0039056C"/>
    <w:rsid w:val="0039130D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B6393"/>
    <w:rsid w:val="003C14CC"/>
    <w:rsid w:val="003C39C7"/>
    <w:rsid w:val="003C4537"/>
    <w:rsid w:val="003D0E9C"/>
    <w:rsid w:val="003D24E4"/>
    <w:rsid w:val="003D433D"/>
    <w:rsid w:val="003E36E5"/>
    <w:rsid w:val="003E3F12"/>
    <w:rsid w:val="003F0712"/>
    <w:rsid w:val="003F2948"/>
    <w:rsid w:val="003F31F3"/>
    <w:rsid w:val="00402395"/>
    <w:rsid w:val="00402AC0"/>
    <w:rsid w:val="00402C8A"/>
    <w:rsid w:val="004057A1"/>
    <w:rsid w:val="00405FA7"/>
    <w:rsid w:val="004064F2"/>
    <w:rsid w:val="00407387"/>
    <w:rsid w:val="00407FC7"/>
    <w:rsid w:val="004126D3"/>
    <w:rsid w:val="00412A45"/>
    <w:rsid w:val="00414AF5"/>
    <w:rsid w:val="00416FA1"/>
    <w:rsid w:val="0042285C"/>
    <w:rsid w:val="00422CBD"/>
    <w:rsid w:val="00423C8C"/>
    <w:rsid w:val="0042647A"/>
    <w:rsid w:val="004323DD"/>
    <w:rsid w:val="00434F70"/>
    <w:rsid w:val="004370DD"/>
    <w:rsid w:val="00437757"/>
    <w:rsid w:val="00437F1C"/>
    <w:rsid w:val="004413D5"/>
    <w:rsid w:val="00441B0C"/>
    <w:rsid w:val="00441F59"/>
    <w:rsid w:val="0044781B"/>
    <w:rsid w:val="00451936"/>
    <w:rsid w:val="00452851"/>
    <w:rsid w:val="00455DE0"/>
    <w:rsid w:val="00456FBA"/>
    <w:rsid w:val="00466D6D"/>
    <w:rsid w:val="0047010E"/>
    <w:rsid w:val="0047291F"/>
    <w:rsid w:val="00476C43"/>
    <w:rsid w:val="004843A2"/>
    <w:rsid w:val="00484F57"/>
    <w:rsid w:val="00485FC2"/>
    <w:rsid w:val="00486460"/>
    <w:rsid w:val="004919C4"/>
    <w:rsid w:val="00491B5B"/>
    <w:rsid w:val="00492815"/>
    <w:rsid w:val="004931C3"/>
    <w:rsid w:val="00494BF0"/>
    <w:rsid w:val="00497DAD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1C72"/>
    <w:rsid w:val="004C25D6"/>
    <w:rsid w:val="004C2BD8"/>
    <w:rsid w:val="004C43B5"/>
    <w:rsid w:val="004C486B"/>
    <w:rsid w:val="004C5F8D"/>
    <w:rsid w:val="004D0411"/>
    <w:rsid w:val="004D1BB8"/>
    <w:rsid w:val="004D242E"/>
    <w:rsid w:val="004D38F0"/>
    <w:rsid w:val="004D79A7"/>
    <w:rsid w:val="004E0F4C"/>
    <w:rsid w:val="004E367C"/>
    <w:rsid w:val="004E6BE3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105F5"/>
    <w:rsid w:val="00512177"/>
    <w:rsid w:val="00512AD3"/>
    <w:rsid w:val="005229B5"/>
    <w:rsid w:val="005248D2"/>
    <w:rsid w:val="00525A47"/>
    <w:rsid w:val="00530935"/>
    <w:rsid w:val="00532931"/>
    <w:rsid w:val="005332DD"/>
    <w:rsid w:val="00535DFF"/>
    <w:rsid w:val="005409B8"/>
    <w:rsid w:val="00541228"/>
    <w:rsid w:val="00541FFF"/>
    <w:rsid w:val="00544BD7"/>
    <w:rsid w:val="005504B7"/>
    <w:rsid w:val="00554BD1"/>
    <w:rsid w:val="005559D8"/>
    <w:rsid w:val="005567C5"/>
    <w:rsid w:val="00557625"/>
    <w:rsid w:val="0056058E"/>
    <w:rsid w:val="00562AD0"/>
    <w:rsid w:val="005645DC"/>
    <w:rsid w:val="00567AA4"/>
    <w:rsid w:val="00570E0C"/>
    <w:rsid w:val="00571717"/>
    <w:rsid w:val="00571E7D"/>
    <w:rsid w:val="005802D5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2E50"/>
    <w:rsid w:val="005A3AA6"/>
    <w:rsid w:val="005B2A3A"/>
    <w:rsid w:val="005B572A"/>
    <w:rsid w:val="005B6E7F"/>
    <w:rsid w:val="005C1370"/>
    <w:rsid w:val="005C20FC"/>
    <w:rsid w:val="005C3EF7"/>
    <w:rsid w:val="005C4E24"/>
    <w:rsid w:val="005C6BBA"/>
    <w:rsid w:val="005C7294"/>
    <w:rsid w:val="005C7367"/>
    <w:rsid w:val="005D0B6F"/>
    <w:rsid w:val="005D36EB"/>
    <w:rsid w:val="005D4731"/>
    <w:rsid w:val="005D768F"/>
    <w:rsid w:val="005E04E7"/>
    <w:rsid w:val="005E1B75"/>
    <w:rsid w:val="005E2DC4"/>
    <w:rsid w:val="005E5DD6"/>
    <w:rsid w:val="005E643A"/>
    <w:rsid w:val="005E748C"/>
    <w:rsid w:val="005E7B64"/>
    <w:rsid w:val="005F564A"/>
    <w:rsid w:val="005F7FC7"/>
    <w:rsid w:val="00600E0B"/>
    <w:rsid w:val="0060565C"/>
    <w:rsid w:val="00606718"/>
    <w:rsid w:val="0060698E"/>
    <w:rsid w:val="00611090"/>
    <w:rsid w:val="006130AE"/>
    <w:rsid w:val="00613F89"/>
    <w:rsid w:val="0061661F"/>
    <w:rsid w:val="00620528"/>
    <w:rsid w:val="0062193D"/>
    <w:rsid w:val="0062442A"/>
    <w:rsid w:val="00624D8B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37D0"/>
    <w:rsid w:val="00674F09"/>
    <w:rsid w:val="00675369"/>
    <w:rsid w:val="0068372E"/>
    <w:rsid w:val="00683D02"/>
    <w:rsid w:val="006870F3"/>
    <w:rsid w:val="0069026B"/>
    <w:rsid w:val="00693E24"/>
    <w:rsid w:val="00693E3D"/>
    <w:rsid w:val="006961DD"/>
    <w:rsid w:val="006A1C31"/>
    <w:rsid w:val="006A2FA5"/>
    <w:rsid w:val="006A40D4"/>
    <w:rsid w:val="006A4EB4"/>
    <w:rsid w:val="006A516C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0D6E"/>
    <w:rsid w:val="006D3C0F"/>
    <w:rsid w:val="006D4699"/>
    <w:rsid w:val="006D6D95"/>
    <w:rsid w:val="006E0823"/>
    <w:rsid w:val="006E12E9"/>
    <w:rsid w:val="006E42CC"/>
    <w:rsid w:val="006E61C8"/>
    <w:rsid w:val="006F0B8C"/>
    <w:rsid w:val="006F1E1F"/>
    <w:rsid w:val="006F293F"/>
    <w:rsid w:val="006F7D7C"/>
    <w:rsid w:val="0070440B"/>
    <w:rsid w:val="0070458D"/>
    <w:rsid w:val="00710098"/>
    <w:rsid w:val="00711982"/>
    <w:rsid w:val="00714188"/>
    <w:rsid w:val="00716D69"/>
    <w:rsid w:val="00721BF0"/>
    <w:rsid w:val="00724DBC"/>
    <w:rsid w:val="00724FF3"/>
    <w:rsid w:val="0072620F"/>
    <w:rsid w:val="0072650C"/>
    <w:rsid w:val="00733489"/>
    <w:rsid w:val="007347B5"/>
    <w:rsid w:val="0074043E"/>
    <w:rsid w:val="00741F2C"/>
    <w:rsid w:val="007432D1"/>
    <w:rsid w:val="00745A65"/>
    <w:rsid w:val="0074746D"/>
    <w:rsid w:val="00747994"/>
    <w:rsid w:val="00750590"/>
    <w:rsid w:val="00754390"/>
    <w:rsid w:val="00754A3B"/>
    <w:rsid w:val="007613CC"/>
    <w:rsid w:val="00765CF9"/>
    <w:rsid w:val="007675A9"/>
    <w:rsid w:val="007713CA"/>
    <w:rsid w:val="007727EF"/>
    <w:rsid w:val="00774283"/>
    <w:rsid w:val="00775E23"/>
    <w:rsid w:val="00777C68"/>
    <w:rsid w:val="00783833"/>
    <w:rsid w:val="0078392C"/>
    <w:rsid w:val="0078735F"/>
    <w:rsid w:val="00791313"/>
    <w:rsid w:val="00793A58"/>
    <w:rsid w:val="007A61C0"/>
    <w:rsid w:val="007A651D"/>
    <w:rsid w:val="007B274B"/>
    <w:rsid w:val="007B4A35"/>
    <w:rsid w:val="007B53AA"/>
    <w:rsid w:val="007B56EF"/>
    <w:rsid w:val="007B738D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0D77"/>
    <w:rsid w:val="007F2A8A"/>
    <w:rsid w:val="007F314B"/>
    <w:rsid w:val="007F7F24"/>
    <w:rsid w:val="00801572"/>
    <w:rsid w:val="008018EB"/>
    <w:rsid w:val="00802BE9"/>
    <w:rsid w:val="00805D2E"/>
    <w:rsid w:val="00806B8A"/>
    <w:rsid w:val="00811168"/>
    <w:rsid w:val="00811378"/>
    <w:rsid w:val="00813B13"/>
    <w:rsid w:val="00814508"/>
    <w:rsid w:val="0082219D"/>
    <w:rsid w:val="008224A5"/>
    <w:rsid w:val="0082296E"/>
    <w:rsid w:val="00823693"/>
    <w:rsid w:val="00825983"/>
    <w:rsid w:val="008265B8"/>
    <w:rsid w:val="00826949"/>
    <w:rsid w:val="0083028E"/>
    <w:rsid w:val="00830F9C"/>
    <w:rsid w:val="00843576"/>
    <w:rsid w:val="00844C66"/>
    <w:rsid w:val="008508EC"/>
    <w:rsid w:val="00850A3D"/>
    <w:rsid w:val="00853085"/>
    <w:rsid w:val="00854ECB"/>
    <w:rsid w:val="00855688"/>
    <w:rsid w:val="0086248A"/>
    <w:rsid w:val="00865920"/>
    <w:rsid w:val="00871BBF"/>
    <w:rsid w:val="00873AC2"/>
    <w:rsid w:val="00874C5E"/>
    <w:rsid w:val="0087701D"/>
    <w:rsid w:val="00883B26"/>
    <w:rsid w:val="00894BD0"/>
    <w:rsid w:val="00897971"/>
    <w:rsid w:val="008A31AA"/>
    <w:rsid w:val="008A423F"/>
    <w:rsid w:val="008A5D7C"/>
    <w:rsid w:val="008A666D"/>
    <w:rsid w:val="008B284F"/>
    <w:rsid w:val="008B435B"/>
    <w:rsid w:val="008B6411"/>
    <w:rsid w:val="008B7C10"/>
    <w:rsid w:val="008C0CBD"/>
    <w:rsid w:val="008C178E"/>
    <w:rsid w:val="008C23B0"/>
    <w:rsid w:val="008C337F"/>
    <w:rsid w:val="008C3BDC"/>
    <w:rsid w:val="008C6A7B"/>
    <w:rsid w:val="008D13DC"/>
    <w:rsid w:val="008D156E"/>
    <w:rsid w:val="008D3CB5"/>
    <w:rsid w:val="008D4B8D"/>
    <w:rsid w:val="008E2B6C"/>
    <w:rsid w:val="008E4836"/>
    <w:rsid w:val="008E4E50"/>
    <w:rsid w:val="008E6D5B"/>
    <w:rsid w:val="008F1CD4"/>
    <w:rsid w:val="008F5E73"/>
    <w:rsid w:val="009029A1"/>
    <w:rsid w:val="00902C20"/>
    <w:rsid w:val="0090469D"/>
    <w:rsid w:val="00904EEB"/>
    <w:rsid w:val="009051F4"/>
    <w:rsid w:val="0090677E"/>
    <w:rsid w:val="00913EB7"/>
    <w:rsid w:val="00917802"/>
    <w:rsid w:val="00924798"/>
    <w:rsid w:val="00926760"/>
    <w:rsid w:val="00931028"/>
    <w:rsid w:val="009346A3"/>
    <w:rsid w:val="00934ACC"/>
    <w:rsid w:val="00935C04"/>
    <w:rsid w:val="00936DF9"/>
    <w:rsid w:val="00942878"/>
    <w:rsid w:val="00950172"/>
    <w:rsid w:val="00951F68"/>
    <w:rsid w:val="00954D19"/>
    <w:rsid w:val="0095595A"/>
    <w:rsid w:val="00957135"/>
    <w:rsid w:val="00965681"/>
    <w:rsid w:val="0096745C"/>
    <w:rsid w:val="009674B7"/>
    <w:rsid w:val="00967BC7"/>
    <w:rsid w:val="00972258"/>
    <w:rsid w:val="00976B7C"/>
    <w:rsid w:val="00977816"/>
    <w:rsid w:val="00984760"/>
    <w:rsid w:val="009853F0"/>
    <w:rsid w:val="00985676"/>
    <w:rsid w:val="00986268"/>
    <w:rsid w:val="00992E30"/>
    <w:rsid w:val="00994D14"/>
    <w:rsid w:val="00996A68"/>
    <w:rsid w:val="00996F03"/>
    <w:rsid w:val="009A142E"/>
    <w:rsid w:val="009A2427"/>
    <w:rsid w:val="009A590B"/>
    <w:rsid w:val="009A66FB"/>
    <w:rsid w:val="009B1D12"/>
    <w:rsid w:val="009B3D03"/>
    <w:rsid w:val="009B77F8"/>
    <w:rsid w:val="009C1377"/>
    <w:rsid w:val="009C4516"/>
    <w:rsid w:val="009C4C1E"/>
    <w:rsid w:val="009C4F69"/>
    <w:rsid w:val="009D25D4"/>
    <w:rsid w:val="009D47F5"/>
    <w:rsid w:val="009D581F"/>
    <w:rsid w:val="009D62B5"/>
    <w:rsid w:val="009D685B"/>
    <w:rsid w:val="009D692B"/>
    <w:rsid w:val="009D6B51"/>
    <w:rsid w:val="009D766D"/>
    <w:rsid w:val="009E28D9"/>
    <w:rsid w:val="009E72F6"/>
    <w:rsid w:val="009F1B4B"/>
    <w:rsid w:val="009F61EB"/>
    <w:rsid w:val="009F7DF5"/>
    <w:rsid w:val="00A07F72"/>
    <w:rsid w:val="00A10413"/>
    <w:rsid w:val="00A114B1"/>
    <w:rsid w:val="00A11838"/>
    <w:rsid w:val="00A11F18"/>
    <w:rsid w:val="00A124A9"/>
    <w:rsid w:val="00A22558"/>
    <w:rsid w:val="00A23641"/>
    <w:rsid w:val="00A23AFF"/>
    <w:rsid w:val="00A25F19"/>
    <w:rsid w:val="00A26C2C"/>
    <w:rsid w:val="00A35641"/>
    <w:rsid w:val="00A42996"/>
    <w:rsid w:val="00A42D9F"/>
    <w:rsid w:val="00A525EC"/>
    <w:rsid w:val="00A528B8"/>
    <w:rsid w:val="00A5301C"/>
    <w:rsid w:val="00A5359A"/>
    <w:rsid w:val="00A55CD2"/>
    <w:rsid w:val="00A55F4B"/>
    <w:rsid w:val="00A567F2"/>
    <w:rsid w:val="00A576F5"/>
    <w:rsid w:val="00A62F70"/>
    <w:rsid w:val="00A6440B"/>
    <w:rsid w:val="00A64C6C"/>
    <w:rsid w:val="00A74A81"/>
    <w:rsid w:val="00A82075"/>
    <w:rsid w:val="00A86846"/>
    <w:rsid w:val="00A90B76"/>
    <w:rsid w:val="00A90E87"/>
    <w:rsid w:val="00A91447"/>
    <w:rsid w:val="00A91B92"/>
    <w:rsid w:val="00A9466A"/>
    <w:rsid w:val="00AA1781"/>
    <w:rsid w:val="00AA2E26"/>
    <w:rsid w:val="00AB0101"/>
    <w:rsid w:val="00AB35B3"/>
    <w:rsid w:val="00AB5635"/>
    <w:rsid w:val="00AB6E62"/>
    <w:rsid w:val="00AB7C76"/>
    <w:rsid w:val="00AC1D14"/>
    <w:rsid w:val="00AC3FC7"/>
    <w:rsid w:val="00AD10B1"/>
    <w:rsid w:val="00AD59C4"/>
    <w:rsid w:val="00AD6201"/>
    <w:rsid w:val="00AE0DFD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033F"/>
    <w:rsid w:val="00B145BE"/>
    <w:rsid w:val="00B17513"/>
    <w:rsid w:val="00B17EFA"/>
    <w:rsid w:val="00B217FC"/>
    <w:rsid w:val="00B23208"/>
    <w:rsid w:val="00B234FB"/>
    <w:rsid w:val="00B250AB"/>
    <w:rsid w:val="00B26C61"/>
    <w:rsid w:val="00B33673"/>
    <w:rsid w:val="00B41B01"/>
    <w:rsid w:val="00B43243"/>
    <w:rsid w:val="00B43FE7"/>
    <w:rsid w:val="00B46EB6"/>
    <w:rsid w:val="00B46FCB"/>
    <w:rsid w:val="00B50EAB"/>
    <w:rsid w:val="00B516E6"/>
    <w:rsid w:val="00B53DF7"/>
    <w:rsid w:val="00B55CCD"/>
    <w:rsid w:val="00B6113A"/>
    <w:rsid w:val="00B62030"/>
    <w:rsid w:val="00B63853"/>
    <w:rsid w:val="00B67E05"/>
    <w:rsid w:val="00B703D0"/>
    <w:rsid w:val="00B77C5E"/>
    <w:rsid w:val="00B80AD3"/>
    <w:rsid w:val="00B81046"/>
    <w:rsid w:val="00B93BD0"/>
    <w:rsid w:val="00B93D56"/>
    <w:rsid w:val="00B96A0C"/>
    <w:rsid w:val="00BA2047"/>
    <w:rsid w:val="00BA6657"/>
    <w:rsid w:val="00BB0B9C"/>
    <w:rsid w:val="00BB10B5"/>
    <w:rsid w:val="00BB1315"/>
    <w:rsid w:val="00BB1EF1"/>
    <w:rsid w:val="00BB26A9"/>
    <w:rsid w:val="00BB3208"/>
    <w:rsid w:val="00BB7E2C"/>
    <w:rsid w:val="00BC0259"/>
    <w:rsid w:val="00BC4560"/>
    <w:rsid w:val="00BC5DB8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BF231C"/>
    <w:rsid w:val="00BF7946"/>
    <w:rsid w:val="00BF79DB"/>
    <w:rsid w:val="00C02BA4"/>
    <w:rsid w:val="00C02CCD"/>
    <w:rsid w:val="00C10534"/>
    <w:rsid w:val="00C13FD3"/>
    <w:rsid w:val="00C1501F"/>
    <w:rsid w:val="00C2117F"/>
    <w:rsid w:val="00C22BCC"/>
    <w:rsid w:val="00C231A2"/>
    <w:rsid w:val="00C32F99"/>
    <w:rsid w:val="00C34380"/>
    <w:rsid w:val="00C3462D"/>
    <w:rsid w:val="00C3648F"/>
    <w:rsid w:val="00C36A4D"/>
    <w:rsid w:val="00C36E13"/>
    <w:rsid w:val="00C36F69"/>
    <w:rsid w:val="00C40BAD"/>
    <w:rsid w:val="00C44C3C"/>
    <w:rsid w:val="00C525E6"/>
    <w:rsid w:val="00C53BD5"/>
    <w:rsid w:val="00C56150"/>
    <w:rsid w:val="00C57577"/>
    <w:rsid w:val="00C702C6"/>
    <w:rsid w:val="00C70D4B"/>
    <w:rsid w:val="00C71A3B"/>
    <w:rsid w:val="00C72BC2"/>
    <w:rsid w:val="00C736FB"/>
    <w:rsid w:val="00C74C69"/>
    <w:rsid w:val="00C770CC"/>
    <w:rsid w:val="00C77EB2"/>
    <w:rsid w:val="00C818EF"/>
    <w:rsid w:val="00C81BEF"/>
    <w:rsid w:val="00C823CF"/>
    <w:rsid w:val="00C84423"/>
    <w:rsid w:val="00C8673B"/>
    <w:rsid w:val="00C87EE9"/>
    <w:rsid w:val="00C936D8"/>
    <w:rsid w:val="00C93BC1"/>
    <w:rsid w:val="00C94E93"/>
    <w:rsid w:val="00C951FD"/>
    <w:rsid w:val="00CA0D3D"/>
    <w:rsid w:val="00CA28EF"/>
    <w:rsid w:val="00CA2ED9"/>
    <w:rsid w:val="00CA72ED"/>
    <w:rsid w:val="00CA776C"/>
    <w:rsid w:val="00CB229F"/>
    <w:rsid w:val="00CB328E"/>
    <w:rsid w:val="00CB4C43"/>
    <w:rsid w:val="00CB55DB"/>
    <w:rsid w:val="00CC2AC5"/>
    <w:rsid w:val="00CC741A"/>
    <w:rsid w:val="00CD0796"/>
    <w:rsid w:val="00CD34FC"/>
    <w:rsid w:val="00CD4F62"/>
    <w:rsid w:val="00CD5E07"/>
    <w:rsid w:val="00CE47F3"/>
    <w:rsid w:val="00CF1FF1"/>
    <w:rsid w:val="00D00148"/>
    <w:rsid w:val="00D0561B"/>
    <w:rsid w:val="00D0580F"/>
    <w:rsid w:val="00D10FEB"/>
    <w:rsid w:val="00D1104F"/>
    <w:rsid w:val="00D11993"/>
    <w:rsid w:val="00D12920"/>
    <w:rsid w:val="00D21AC2"/>
    <w:rsid w:val="00D23231"/>
    <w:rsid w:val="00D2456D"/>
    <w:rsid w:val="00D3030C"/>
    <w:rsid w:val="00D30365"/>
    <w:rsid w:val="00D3194B"/>
    <w:rsid w:val="00D32F0A"/>
    <w:rsid w:val="00D34368"/>
    <w:rsid w:val="00D363A2"/>
    <w:rsid w:val="00D36E52"/>
    <w:rsid w:val="00D40628"/>
    <w:rsid w:val="00D4231E"/>
    <w:rsid w:val="00D43043"/>
    <w:rsid w:val="00D43632"/>
    <w:rsid w:val="00D46E20"/>
    <w:rsid w:val="00D5076A"/>
    <w:rsid w:val="00D557D4"/>
    <w:rsid w:val="00D611A4"/>
    <w:rsid w:val="00D6187B"/>
    <w:rsid w:val="00D620A5"/>
    <w:rsid w:val="00D6358C"/>
    <w:rsid w:val="00D63A21"/>
    <w:rsid w:val="00D644E2"/>
    <w:rsid w:val="00D675EA"/>
    <w:rsid w:val="00D71BC7"/>
    <w:rsid w:val="00D724A8"/>
    <w:rsid w:val="00D73021"/>
    <w:rsid w:val="00D737DE"/>
    <w:rsid w:val="00D74D9C"/>
    <w:rsid w:val="00D837B9"/>
    <w:rsid w:val="00D85F3F"/>
    <w:rsid w:val="00D860D1"/>
    <w:rsid w:val="00D912A1"/>
    <w:rsid w:val="00D92125"/>
    <w:rsid w:val="00D946D5"/>
    <w:rsid w:val="00D96C92"/>
    <w:rsid w:val="00D97C8C"/>
    <w:rsid w:val="00DA0A2E"/>
    <w:rsid w:val="00DA3444"/>
    <w:rsid w:val="00DA34B5"/>
    <w:rsid w:val="00DA5758"/>
    <w:rsid w:val="00DB1D8C"/>
    <w:rsid w:val="00DB5458"/>
    <w:rsid w:val="00DB6B14"/>
    <w:rsid w:val="00DC6B0C"/>
    <w:rsid w:val="00DD65B5"/>
    <w:rsid w:val="00DE5B69"/>
    <w:rsid w:val="00DF1C68"/>
    <w:rsid w:val="00DF251B"/>
    <w:rsid w:val="00DF5453"/>
    <w:rsid w:val="00DF5BB1"/>
    <w:rsid w:val="00DF6F3F"/>
    <w:rsid w:val="00E02D4F"/>
    <w:rsid w:val="00E0303C"/>
    <w:rsid w:val="00E0372D"/>
    <w:rsid w:val="00E0430B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586C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5A8B"/>
    <w:rsid w:val="00E50878"/>
    <w:rsid w:val="00E53927"/>
    <w:rsid w:val="00E54DF0"/>
    <w:rsid w:val="00E55F20"/>
    <w:rsid w:val="00E57E3F"/>
    <w:rsid w:val="00E658A4"/>
    <w:rsid w:val="00E660A5"/>
    <w:rsid w:val="00E667B6"/>
    <w:rsid w:val="00E67253"/>
    <w:rsid w:val="00E67F9C"/>
    <w:rsid w:val="00E7035F"/>
    <w:rsid w:val="00E71555"/>
    <w:rsid w:val="00E74F72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A0F01"/>
    <w:rsid w:val="00EA3A04"/>
    <w:rsid w:val="00EA51DF"/>
    <w:rsid w:val="00EB094A"/>
    <w:rsid w:val="00EB4187"/>
    <w:rsid w:val="00EB56B1"/>
    <w:rsid w:val="00EB6BE3"/>
    <w:rsid w:val="00EC1B91"/>
    <w:rsid w:val="00EC5344"/>
    <w:rsid w:val="00ED2E32"/>
    <w:rsid w:val="00ED4386"/>
    <w:rsid w:val="00ED4BE6"/>
    <w:rsid w:val="00ED4E37"/>
    <w:rsid w:val="00ED5285"/>
    <w:rsid w:val="00ED6ABF"/>
    <w:rsid w:val="00EE05AE"/>
    <w:rsid w:val="00EE1D00"/>
    <w:rsid w:val="00EE4DB6"/>
    <w:rsid w:val="00F01731"/>
    <w:rsid w:val="00F0361E"/>
    <w:rsid w:val="00F125D9"/>
    <w:rsid w:val="00F13983"/>
    <w:rsid w:val="00F15FEA"/>
    <w:rsid w:val="00F2284E"/>
    <w:rsid w:val="00F32799"/>
    <w:rsid w:val="00F32E0D"/>
    <w:rsid w:val="00F33013"/>
    <w:rsid w:val="00F35FA3"/>
    <w:rsid w:val="00F423FE"/>
    <w:rsid w:val="00F44100"/>
    <w:rsid w:val="00F464B3"/>
    <w:rsid w:val="00F51661"/>
    <w:rsid w:val="00F52A29"/>
    <w:rsid w:val="00F53FD5"/>
    <w:rsid w:val="00F606FC"/>
    <w:rsid w:val="00F71EE3"/>
    <w:rsid w:val="00F75244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23F8"/>
    <w:rsid w:val="00F92BB6"/>
    <w:rsid w:val="00F92FA2"/>
    <w:rsid w:val="00F931B7"/>
    <w:rsid w:val="00F934D0"/>
    <w:rsid w:val="00F9395F"/>
    <w:rsid w:val="00F94250"/>
    <w:rsid w:val="00F9462B"/>
    <w:rsid w:val="00F9524E"/>
    <w:rsid w:val="00F96127"/>
    <w:rsid w:val="00F97AA8"/>
    <w:rsid w:val="00FA1146"/>
    <w:rsid w:val="00FA2E6E"/>
    <w:rsid w:val="00FA38A3"/>
    <w:rsid w:val="00FA5EA4"/>
    <w:rsid w:val="00FC290A"/>
    <w:rsid w:val="00FC2987"/>
    <w:rsid w:val="00FD2201"/>
    <w:rsid w:val="00FE7544"/>
    <w:rsid w:val="00FE7FD1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  <w:style w:type="paragraph" w:customStyle="1" w:styleId="Default">
    <w:name w:val="Default"/>
    <w:rsid w:val="0072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7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4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ic.hegg@msu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hodge3@montana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lbrc.org/research/highlights/different-biomass-pretreatment-strategies-give-different-hydrolysis-ligni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otechnologyforbiofuels.biomedcentral.com/articles/10.1186/s13068-019-1546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A407AFB42876A1429E313D11EEF8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36E7-6C6A-3D4B-A183-147BCCFD0197}"/>
      </w:docPartPr>
      <w:docPartBody>
        <w:p w:rsidR="00B5405E" w:rsidRDefault="00F66EE1" w:rsidP="00F66EE1">
          <w:pPr>
            <w:pStyle w:val="A407AFB42876A1429E313D11EEF8880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44720"/>
    <w:rsid w:val="00066EAE"/>
    <w:rsid w:val="00096E97"/>
    <w:rsid w:val="000A5651"/>
    <w:rsid w:val="000E6B1C"/>
    <w:rsid w:val="000E741B"/>
    <w:rsid w:val="001300D1"/>
    <w:rsid w:val="001A1513"/>
    <w:rsid w:val="001D1958"/>
    <w:rsid w:val="001D4CEC"/>
    <w:rsid w:val="00201DC0"/>
    <w:rsid w:val="00203BBB"/>
    <w:rsid w:val="002101E3"/>
    <w:rsid w:val="002173FF"/>
    <w:rsid w:val="00270A1D"/>
    <w:rsid w:val="0028374B"/>
    <w:rsid w:val="00296613"/>
    <w:rsid w:val="002B3C68"/>
    <w:rsid w:val="002B7F79"/>
    <w:rsid w:val="002C0425"/>
    <w:rsid w:val="002C6464"/>
    <w:rsid w:val="002F23BC"/>
    <w:rsid w:val="003012AF"/>
    <w:rsid w:val="00374206"/>
    <w:rsid w:val="003B5077"/>
    <w:rsid w:val="00432E33"/>
    <w:rsid w:val="00434869"/>
    <w:rsid w:val="0045226C"/>
    <w:rsid w:val="004703F6"/>
    <w:rsid w:val="004D12B7"/>
    <w:rsid w:val="0051485A"/>
    <w:rsid w:val="00517325"/>
    <w:rsid w:val="00543821"/>
    <w:rsid w:val="00551AA8"/>
    <w:rsid w:val="00562B72"/>
    <w:rsid w:val="00591FDE"/>
    <w:rsid w:val="00594C58"/>
    <w:rsid w:val="005F4671"/>
    <w:rsid w:val="00644D6B"/>
    <w:rsid w:val="00645445"/>
    <w:rsid w:val="00685F21"/>
    <w:rsid w:val="00724B91"/>
    <w:rsid w:val="007271D0"/>
    <w:rsid w:val="00751274"/>
    <w:rsid w:val="007736B1"/>
    <w:rsid w:val="007D2A24"/>
    <w:rsid w:val="007E11F4"/>
    <w:rsid w:val="008069B1"/>
    <w:rsid w:val="00823539"/>
    <w:rsid w:val="0083139D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62C65"/>
    <w:rsid w:val="00964B89"/>
    <w:rsid w:val="00971AF6"/>
    <w:rsid w:val="009E0D82"/>
    <w:rsid w:val="00A06165"/>
    <w:rsid w:val="00A14E31"/>
    <w:rsid w:val="00A17052"/>
    <w:rsid w:val="00A35093"/>
    <w:rsid w:val="00A77834"/>
    <w:rsid w:val="00A90BFA"/>
    <w:rsid w:val="00AF4837"/>
    <w:rsid w:val="00B21599"/>
    <w:rsid w:val="00B41C19"/>
    <w:rsid w:val="00B5405E"/>
    <w:rsid w:val="00B67B3B"/>
    <w:rsid w:val="00BA44E0"/>
    <w:rsid w:val="00BF187D"/>
    <w:rsid w:val="00C136AB"/>
    <w:rsid w:val="00CA4331"/>
    <w:rsid w:val="00D20124"/>
    <w:rsid w:val="00DA15C3"/>
    <w:rsid w:val="00DA559C"/>
    <w:rsid w:val="00DE44BC"/>
    <w:rsid w:val="00E01B05"/>
    <w:rsid w:val="00E46C16"/>
    <w:rsid w:val="00EA2AAD"/>
    <w:rsid w:val="00EC551F"/>
    <w:rsid w:val="00EE1B39"/>
    <w:rsid w:val="00EE2BFB"/>
    <w:rsid w:val="00F3022F"/>
    <w:rsid w:val="00F66EE1"/>
    <w:rsid w:val="00F874E1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  <w:style w:type="paragraph" w:customStyle="1" w:styleId="A407AFB42876A1429E313D11EEF8880C">
    <w:name w:val="A407AFB42876A1429E313D11EEF8880C"/>
    <w:rsid w:val="00F66EE1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HUBDOC-169-705</_dlc_DocId>
    <_dlc_DocIdUrl xmlns="f66da2ca-f37c-4205-929f-e8e9af1907d3">
      <Url>https://intranet.wei.wisc.edu/glbrc/doe/_layouts/15/DocIdRedir.aspx?ID=HUBDOC-169-705</Url>
      <Description>HUBDOC-169-705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Matthew Wisniewski</cp:lastModifiedBy>
  <cp:revision>9</cp:revision>
  <dcterms:created xsi:type="dcterms:W3CDTF">2019-09-10T15:59:00Z</dcterms:created>
  <dcterms:modified xsi:type="dcterms:W3CDTF">2019-09-11T19:21:00Z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86d92086-456c-42f0-a89b-b61f8b884847</vt:lpwstr>
  </property>
  <property fmtid="{D5CDD505-2E9C-101B-9397-08002B2CF9AE}" pid="4" name="TaxKeyword">
    <vt:lpwstr/>
  </property>
</Properties>
</file>