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E77B6" w:rsidRDefault="00922320">
      <w:pPr>
        <w:spacing w:after="0" w:line="240" w:lineRule="auto"/>
        <w:rPr>
          <w:rFonts w:ascii="Arial" w:eastAsia="Arial" w:hAnsi="Arial" w:cs="Arial"/>
          <w:color w:val="686868"/>
          <w:sz w:val="20"/>
          <w:szCs w:val="20"/>
        </w:rPr>
      </w:pPr>
      <w:r>
        <w:rPr>
          <w:rFonts w:ascii="Arial" w:eastAsia="Arial" w:hAnsi="Arial" w:cs="Arial"/>
          <w:color w:val="7F7F7F"/>
          <w:sz w:val="20"/>
          <w:szCs w:val="20"/>
        </w:rPr>
        <w:t xml:space="preserve">11 </w:t>
      </w:r>
      <w:r>
        <w:rPr>
          <w:rFonts w:ascii="Arial" w:eastAsia="Arial" w:hAnsi="Arial" w:cs="Arial"/>
          <w:color w:val="808080"/>
        </w:rPr>
        <w:t>November</w:t>
      </w:r>
      <w:r>
        <w:rPr>
          <w:rFonts w:ascii="Arial" w:eastAsia="Arial" w:hAnsi="Arial" w:cs="Arial"/>
          <w:color w:val="7F7F7F"/>
          <w:sz w:val="20"/>
          <w:szCs w:val="20"/>
        </w:rPr>
        <w:t xml:space="preserve"> </w:t>
      </w:r>
      <w:r>
        <w:rPr>
          <w:rFonts w:ascii="Arial" w:eastAsia="Arial" w:hAnsi="Arial" w:cs="Arial"/>
          <w:color w:val="808080"/>
        </w:rPr>
        <w:t>2020</w:t>
      </w:r>
      <w:r>
        <w:rPr>
          <w:rFonts w:ascii="Arial" w:eastAsia="Arial" w:hAnsi="Arial" w:cs="Arial"/>
          <w:color w:val="686868"/>
          <w:sz w:val="20"/>
          <w:szCs w:val="20"/>
        </w:rPr>
        <w:t xml:space="preserve"> </w:t>
      </w:r>
    </w:p>
    <w:p w14:paraId="00000002" w14:textId="77777777" w:rsidR="003E77B6" w:rsidRDefault="00922320">
      <w:pPr>
        <w:spacing w:before="60" w:after="120" w:line="240" w:lineRule="auto"/>
        <w:rPr>
          <w:rFonts w:ascii="Arial" w:eastAsia="Arial" w:hAnsi="Arial" w:cs="Arial"/>
          <w:b/>
          <w:color w:val="106636"/>
          <w:sz w:val="36"/>
          <w:szCs w:val="36"/>
        </w:rPr>
      </w:pPr>
      <w:r>
        <w:rPr>
          <w:rFonts w:ascii="Arial" w:eastAsia="Arial" w:hAnsi="Arial" w:cs="Arial"/>
          <w:b/>
          <w:color w:val="106636"/>
          <w:sz w:val="36"/>
          <w:szCs w:val="36"/>
        </w:rPr>
        <w:t>Uncovering new features of bacterial control elements</w:t>
      </w:r>
    </w:p>
    <w:p w14:paraId="00000003" w14:textId="77777777" w:rsidR="003E77B6" w:rsidRDefault="00922320">
      <w:pPr>
        <w:spacing w:before="280" w:after="280"/>
        <w:rPr>
          <w:rFonts w:ascii="Arial" w:eastAsia="Arial" w:hAnsi="Arial" w:cs="Arial"/>
          <w:color w:val="989898"/>
          <w:sz w:val="30"/>
          <w:szCs w:val="30"/>
        </w:rPr>
      </w:pPr>
      <w:r>
        <w:rPr>
          <w:rFonts w:ascii="Arial" w:eastAsia="Arial" w:hAnsi="Arial" w:cs="Arial"/>
          <w:color w:val="989898"/>
          <w:sz w:val="30"/>
          <w:szCs w:val="30"/>
        </w:rPr>
        <w:t xml:space="preserve">Collaboration could expand the industrial use of microbial chassis </w:t>
      </w:r>
    </w:p>
    <w:p w14:paraId="00000004" w14:textId="77777777" w:rsidR="003E77B6" w:rsidRDefault="00922320">
      <w:pPr>
        <w:tabs>
          <w:tab w:val="left" w:pos="3233"/>
        </w:tabs>
        <w:spacing w:before="280" w:after="60"/>
        <w:rPr>
          <w:rFonts w:ascii="Arial" w:eastAsia="Arial" w:hAnsi="Arial" w:cs="Arial"/>
          <w:b/>
          <w:color w:val="686868"/>
          <w:sz w:val="25"/>
          <w:szCs w:val="25"/>
        </w:rPr>
      </w:pPr>
      <w:r>
        <w:rPr>
          <w:rFonts w:ascii="Arial" w:eastAsia="Arial" w:hAnsi="Arial" w:cs="Arial"/>
          <w:b/>
          <w:color w:val="686868"/>
          <w:sz w:val="25"/>
          <w:szCs w:val="25"/>
        </w:rPr>
        <w:t>The Science</w:t>
      </w:r>
    </w:p>
    <w:p w14:paraId="00000007" w14:textId="72C82BF7" w:rsidR="003E77B6" w:rsidRDefault="00922320" w:rsidP="00603C68">
      <w:pPr>
        <w:spacing w:after="0"/>
        <w:rPr>
          <w:rFonts w:ascii="Arial" w:eastAsia="Arial" w:hAnsi="Arial" w:cs="Arial"/>
          <w:color w:val="363636"/>
          <w:sz w:val="20"/>
          <w:szCs w:val="20"/>
        </w:rPr>
      </w:pPr>
      <w:r>
        <w:rPr>
          <w:rFonts w:ascii="Arial" w:eastAsia="Arial" w:hAnsi="Arial" w:cs="Arial"/>
          <w:color w:val="363636"/>
          <w:sz w:val="20"/>
          <w:szCs w:val="20"/>
        </w:rPr>
        <w:t xml:space="preserve">Our society relies on a wide variety of chemicals with </w:t>
      </w:r>
      <w:r w:rsidR="00603C68">
        <w:rPr>
          <w:rFonts w:ascii="Arial" w:eastAsia="Arial" w:hAnsi="Arial" w:cs="Arial"/>
          <w:color w:val="363636"/>
          <w:sz w:val="20"/>
          <w:szCs w:val="20"/>
        </w:rPr>
        <w:t>many</w:t>
      </w:r>
      <w:r>
        <w:rPr>
          <w:rFonts w:ascii="Arial" w:eastAsia="Arial" w:hAnsi="Arial" w:cs="Arial"/>
          <w:color w:val="363636"/>
          <w:sz w:val="20"/>
          <w:szCs w:val="20"/>
        </w:rPr>
        <w:t xml:space="preserve"> uses and properties. Many chemicals and fuels that are currently made from oil could instead be made from plant material by microorganisms. The most promising microbes for this purpose have br</w:t>
      </w:r>
      <w:r>
        <w:rPr>
          <w:rFonts w:ascii="Arial" w:eastAsia="Arial" w:hAnsi="Arial" w:cs="Arial"/>
          <w:color w:val="363636"/>
          <w:sz w:val="20"/>
          <w:szCs w:val="20"/>
        </w:rPr>
        <w:t xml:space="preserve">oad appetites and biosynthetic </w:t>
      </w:r>
      <w:r w:rsidR="00603C68">
        <w:rPr>
          <w:rFonts w:ascii="Arial" w:eastAsia="Arial" w:hAnsi="Arial" w:cs="Arial"/>
          <w:color w:val="363636"/>
          <w:sz w:val="20"/>
          <w:szCs w:val="20"/>
        </w:rPr>
        <w:t>potential but</w:t>
      </w:r>
      <w:r>
        <w:rPr>
          <w:rFonts w:ascii="Arial" w:eastAsia="Arial" w:hAnsi="Arial" w:cs="Arial"/>
          <w:color w:val="363636"/>
          <w:sz w:val="20"/>
          <w:szCs w:val="20"/>
        </w:rPr>
        <w:t xml:space="preserve"> have not been widely studied in research labs. In three recent studies, scientists report crucial information on how to control genes in unique and promising biosynthetic microbes—</w:t>
      </w:r>
      <w:r>
        <w:rPr>
          <w:rFonts w:ascii="Arial" w:eastAsia="Arial" w:hAnsi="Arial" w:cs="Arial"/>
          <w:i/>
          <w:color w:val="363636"/>
          <w:sz w:val="20"/>
          <w:szCs w:val="20"/>
        </w:rPr>
        <w:t>Rhodobacter sphaeroides, Zymom</w:t>
      </w:r>
      <w:r>
        <w:rPr>
          <w:rFonts w:ascii="Arial" w:eastAsia="Arial" w:hAnsi="Arial" w:cs="Arial"/>
          <w:i/>
          <w:color w:val="363636"/>
          <w:sz w:val="20"/>
          <w:szCs w:val="20"/>
        </w:rPr>
        <w:t xml:space="preserve">onas mobilis, </w:t>
      </w:r>
      <w:r>
        <w:rPr>
          <w:rFonts w:ascii="Arial" w:eastAsia="Arial" w:hAnsi="Arial" w:cs="Arial"/>
          <w:color w:val="363636"/>
          <w:sz w:val="20"/>
          <w:szCs w:val="20"/>
        </w:rPr>
        <w:t xml:space="preserve">and </w:t>
      </w:r>
      <w:r>
        <w:rPr>
          <w:rFonts w:ascii="Arial" w:eastAsia="Arial" w:hAnsi="Arial" w:cs="Arial"/>
          <w:i/>
          <w:color w:val="363636"/>
          <w:sz w:val="20"/>
          <w:szCs w:val="20"/>
        </w:rPr>
        <w:t>Novosphingobium aromaticivorans</w:t>
      </w:r>
      <w:r>
        <w:rPr>
          <w:rFonts w:ascii="Arial" w:eastAsia="Arial" w:hAnsi="Arial" w:cs="Arial"/>
          <w:color w:val="363636"/>
          <w:sz w:val="20"/>
          <w:szCs w:val="20"/>
        </w:rPr>
        <w:t xml:space="preserve">. </w:t>
      </w:r>
    </w:p>
    <w:p w14:paraId="00000008" w14:textId="77777777" w:rsidR="003E77B6" w:rsidRDefault="00922320">
      <w:pPr>
        <w:spacing w:before="280" w:after="60"/>
        <w:rPr>
          <w:rFonts w:ascii="Arial" w:eastAsia="Arial" w:hAnsi="Arial" w:cs="Arial"/>
          <w:b/>
          <w:color w:val="686868"/>
          <w:sz w:val="25"/>
          <w:szCs w:val="25"/>
        </w:rPr>
      </w:pPr>
      <w:r>
        <w:rPr>
          <w:rFonts w:ascii="Arial" w:eastAsia="Arial" w:hAnsi="Arial" w:cs="Arial"/>
          <w:b/>
          <w:color w:val="686868"/>
          <w:sz w:val="25"/>
          <w:szCs w:val="25"/>
        </w:rPr>
        <w:t>The Impact</w:t>
      </w:r>
    </w:p>
    <w:p w14:paraId="0000000A" w14:textId="77777777" w:rsidR="003E77B6" w:rsidRDefault="00922320" w:rsidP="00603C68">
      <w:pPr>
        <w:spacing w:after="0"/>
        <w:rPr>
          <w:rFonts w:ascii="Arial" w:eastAsia="Arial" w:hAnsi="Arial" w:cs="Arial"/>
          <w:color w:val="363636"/>
          <w:sz w:val="20"/>
          <w:szCs w:val="20"/>
        </w:rPr>
      </w:pPr>
      <w:r>
        <w:rPr>
          <w:rFonts w:ascii="Arial" w:eastAsia="Arial" w:hAnsi="Arial" w:cs="Arial"/>
          <w:color w:val="363636"/>
          <w:sz w:val="20"/>
          <w:szCs w:val="20"/>
        </w:rPr>
        <w:t>A viable biofuels and bioproducts industry relies on large-scale, efficient production. Scientists c</w:t>
      </w:r>
      <w:r>
        <w:rPr>
          <w:rFonts w:ascii="Arial" w:eastAsia="Arial" w:hAnsi="Arial" w:cs="Arial"/>
          <w:color w:val="363636"/>
          <w:sz w:val="20"/>
          <w:szCs w:val="20"/>
        </w:rPr>
        <w:t>an use genetic engineering to boost a microbe’s ability to make chemicals quickly and efficiently, but only if they understand the bacteria’s genes and the circuitry to control them. These papers report vital information that will enable genetic engineerin</w:t>
      </w:r>
      <w:r>
        <w:rPr>
          <w:rFonts w:ascii="Arial" w:eastAsia="Arial" w:hAnsi="Arial" w:cs="Arial"/>
          <w:color w:val="363636"/>
          <w:sz w:val="20"/>
          <w:szCs w:val="20"/>
        </w:rPr>
        <w:t xml:space="preserve">g in </w:t>
      </w:r>
      <w:r>
        <w:rPr>
          <w:rFonts w:ascii="Arial" w:eastAsia="Arial" w:hAnsi="Arial" w:cs="Arial"/>
          <w:i/>
          <w:color w:val="363636"/>
          <w:sz w:val="20"/>
          <w:szCs w:val="20"/>
        </w:rPr>
        <w:t>Z. mobilis</w:t>
      </w:r>
      <w:r>
        <w:rPr>
          <w:rFonts w:ascii="Arial" w:eastAsia="Arial" w:hAnsi="Arial" w:cs="Arial"/>
          <w:color w:val="363636"/>
          <w:sz w:val="20"/>
          <w:szCs w:val="20"/>
        </w:rPr>
        <w:t xml:space="preserve">, </w:t>
      </w:r>
      <w:r>
        <w:rPr>
          <w:rFonts w:ascii="Arial" w:eastAsia="Arial" w:hAnsi="Arial" w:cs="Arial"/>
          <w:i/>
          <w:color w:val="363636"/>
          <w:sz w:val="20"/>
          <w:szCs w:val="20"/>
        </w:rPr>
        <w:t>R. sphaeroides</w:t>
      </w:r>
      <w:r>
        <w:rPr>
          <w:rFonts w:ascii="Arial" w:eastAsia="Arial" w:hAnsi="Arial" w:cs="Arial"/>
          <w:color w:val="363636"/>
          <w:sz w:val="20"/>
          <w:szCs w:val="20"/>
        </w:rPr>
        <w:t xml:space="preserve">, and </w:t>
      </w:r>
      <w:r>
        <w:rPr>
          <w:rFonts w:ascii="Arial" w:eastAsia="Arial" w:hAnsi="Arial" w:cs="Arial"/>
          <w:i/>
          <w:color w:val="363636"/>
          <w:sz w:val="20"/>
          <w:szCs w:val="20"/>
        </w:rPr>
        <w:t>N. aromaticivorans</w:t>
      </w:r>
      <w:r>
        <w:rPr>
          <w:rFonts w:ascii="Arial" w:eastAsia="Arial" w:hAnsi="Arial" w:cs="Arial"/>
          <w:color w:val="363636"/>
          <w:sz w:val="20"/>
          <w:szCs w:val="20"/>
        </w:rPr>
        <w:t>. This is a crucial step for optimizing these bacteria for the bio-based production of fuels and chemicals.</w:t>
      </w:r>
    </w:p>
    <w:p w14:paraId="0000000B" w14:textId="77777777" w:rsidR="003E77B6" w:rsidRDefault="003E77B6">
      <w:pPr>
        <w:spacing w:after="0" w:line="240" w:lineRule="auto"/>
        <w:rPr>
          <w:rFonts w:ascii="Arial" w:eastAsia="Arial" w:hAnsi="Arial" w:cs="Arial"/>
          <w:color w:val="363636"/>
          <w:sz w:val="20"/>
          <w:szCs w:val="20"/>
        </w:rPr>
      </w:pPr>
    </w:p>
    <w:p w14:paraId="0000000C" w14:textId="77777777" w:rsidR="003E77B6" w:rsidRDefault="00922320">
      <w:pPr>
        <w:spacing w:after="60"/>
        <w:rPr>
          <w:rFonts w:ascii="Arial" w:eastAsia="Arial" w:hAnsi="Arial" w:cs="Arial"/>
          <w:b/>
          <w:color w:val="686868"/>
          <w:sz w:val="25"/>
          <w:szCs w:val="25"/>
        </w:rPr>
      </w:pPr>
      <w:r>
        <w:rPr>
          <w:rFonts w:ascii="Arial" w:eastAsia="Arial" w:hAnsi="Arial" w:cs="Arial"/>
          <w:b/>
          <w:color w:val="686868"/>
          <w:sz w:val="25"/>
          <w:szCs w:val="25"/>
        </w:rPr>
        <w:t>Summary</w:t>
      </w:r>
    </w:p>
    <w:p w14:paraId="0000000E" w14:textId="77777777" w:rsidR="003E77B6" w:rsidRDefault="00922320" w:rsidP="00603C68">
      <w:pPr>
        <w:spacing w:after="180"/>
        <w:rPr>
          <w:rFonts w:ascii="Arial" w:eastAsia="Arial" w:hAnsi="Arial" w:cs="Arial"/>
          <w:sz w:val="20"/>
          <w:szCs w:val="20"/>
        </w:rPr>
      </w:pPr>
      <w:r>
        <w:rPr>
          <w:rFonts w:ascii="Arial" w:eastAsia="Arial" w:hAnsi="Arial" w:cs="Arial"/>
          <w:color w:val="363636"/>
          <w:sz w:val="20"/>
          <w:szCs w:val="20"/>
        </w:rPr>
        <w:t>There is a need for microbes that can transform abundant renewable materials into a wide variety of fuels and chemicals that are currently made from petroleum. Different microbes are likely needed to produce the suite of needed chemicals from a diverse arr</w:t>
      </w:r>
      <w:r>
        <w:rPr>
          <w:rFonts w:ascii="Arial" w:eastAsia="Arial" w:hAnsi="Arial" w:cs="Arial"/>
          <w:color w:val="363636"/>
          <w:sz w:val="20"/>
          <w:szCs w:val="20"/>
        </w:rPr>
        <w:t>ay of renewable raw materials. There is significant industrial interest in a class of bacteria called Alphaproteobacteria for this purpose. They can break down a wide array of compounds and can potentially make fuels, chemicals, and materials from renewabl</w:t>
      </w:r>
      <w:r>
        <w:rPr>
          <w:rFonts w:ascii="Arial" w:eastAsia="Arial" w:hAnsi="Arial" w:cs="Arial"/>
          <w:color w:val="363636"/>
          <w:sz w:val="20"/>
          <w:szCs w:val="20"/>
        </w:rPr>
        <w:t>e resources.</w:t>
      </w:r>
      <w:r>
        <w:rPr>
          <w:rFonts w:ascii="Arial" w:eastAsia="Arial" w:hAnsi="Arial" w:cs="Arial"/>
          <w:sz w:val="20"/>
          <w:szCs w:val="20"/>
        </w:rPr>
        <w:t xml:space="preserve"> Efforts to optimize chemical production in these bacteria are impeded by a lack of knowledge about how to predictably and quantitatively control these poorly studied metabolic activities. </w:t>
      </w:r>
    </w:p>
    <w:p w14:paraId="0000000F" w14:textId="77777777" w:rsidR="003E77B6" w:rsidRDefault="00922320" w:rsidP="00603C68">
      <w:pPr>
        <w:spacing w:after="180"/>
        <w:rPr>
          <w:rFonts w:ascii="Arial" w:eastAsia="Arial" w:hAnsi="Arial" w:cs="Arial"/>
          <w:sz w:val="20"/>
          <w:szCs w:val="20"/>
        </w:rPr>
      </w:pPr>
      <w:r>
        <w:rPr>
          <w:rFonts w:ascii="Arial" w:eastAsia="Arial" w:hAnsi="Arial" w:cs="Arial"/>
          <w:sz w:val="20"/>
          <w:szCs w:val="20"/>
        </w:rPr>
        <w:t>In a set of recent collaborative papers, researchers f</w:t>
      </w:r>
      <w:r>
        <w:rPr>
          <w:rFonts w:ascii="Arial" w:eastAsia="Arial" w:hAnsi="Arial" w:cs="Arial"/>
          <w:sz w:val="20"/>
          <w:szCs w:val="20"/>
        </w:rPr>
        <w:t>rom the Great Lakes Bioenergy Research Center and the University of Wisconsin–Madison Departments of Bacteriology and Biochemistry report new information on the gene promoters in several alphaproteobacteria that are used or being developed for use by indus</w:t>
      </w:r>
      <w:r>
        <w:rPr>
          <w:rFonts w:ascii="Arial" w:eastAsia="Arial" w:hAnsi="Arial" w:cs="Arial"/>
          <w:sz w:val="20"/>
          <w:szCs w:val="20"/>
        </w:rPr>
        <w:t>try. Promoters are regions of DNA that direct proteins to start transcribing a gene into enzymes. The research teams combined genomic, genetic, and biochemical studies to demonstrate previously unknown differences between promoters of these alphaproteobact</w:t>
      </w:r>
      <w:r>
        <w:rPr>
          <w:rFonts w:ascii="Arial" w:eastAsia="Arial" w:hAnsi="Arial" w:cs="Arial"/>
          <w:sz w:val="20"/>
          <w:szCs w:val="20"/>
        </w:rPr>
        <w:t>eria and those often used by industry. The newly discovered information presented in this work supplies crucial knowledge for engineering these bacteria to either produce new products or increase their yield in both laboratory and industrial settings. This</w:t>
      </w:r>
      <w:r>
        <w:rPr>
          <w:rFonts w:ascii="Arial" w:eastAsia="Arial" w:hAnsi="Arial" w:cs="Arial"/>
          <w:sz w:val="20"/>
          <w:szCs w:val="20"/>
        </w:rPr>
        <w:t xml:space="preserve"> information is vital as researchers develop species like </w:t>
      </w:r>
      <w:r>
        <w:rPr>
          <w:rFonts w:ascii="Arial" w:eastAsia="Arial" w:hAnsi="Arial" w:cs="Arial"/>
          <w:i/>
          <w:sz w:val="20"/>
          <w:szCs w:val="20"/>
        </w:rPr>
        <w:t>Z. mobilis, R. sphaeroides, and N. aromaticivorans</w:t>
      </w:r>
      <w:r>
        <w:rPr>
          <w:rFonts w:ascii="Arial" w:eastAsia="Arial" w:hAnsi="Arial" w:cs="Arial"/>
          <w:sz w:val="20"/>
          <w:szCs w:val="20"/>
        </w:rPr>
        <w:t xml:space="preserve"> to produce fuels and chemicals from abundant renewable materials.</w:t>
      </w:r>
    </w:p>
    <w:p w14:paraId="00000010" w14:textId="77777777" w:rsidR="003E77B6" w:rsidRDefault="00922320">
      <w:pPr>
        <w:spacing w:before="280" w:after="60"/>
        <w:rPr>
          <w:rFonts w:ascii="Arial" w:eastAsia="Arial" w:hAnsi="Arial" w:cs="Arial"/>
          <w:b/>
          <w:color w:val="686868"/>
          <w:sz w:val="25"/>
          <w:szCs w:val="25"/>
        </w:rPr>
      </w:pPr>
      <w:r>
        <w:rPr>
          <w:rFonts w:ascii="Arial" w:eastAsia="Arial" w:hAnsi="Arial" w:cs="Arial"/>
          <w:b/>
          <w:color w:val="686868"/>
          <w:sz w:val="25"/>
          <w:szCs w:val="25"/>
        </w:rPr>
        <w:t>Contacts</w:t>
      </w:r>
    </w:p>
    <w:p w14:paraId="00000011" w14:textId="77777777" w:rsidR="003E77B6" w:rsidRDefault="00922320">
      <w:pPr>
        <w:spacing w:after="60" w:line="240" w:lineRule="auto"/>
        <w:rPr>
          <w:rFonts w:ascii="Arial" w:eastAsia="Arial" w:hAnsi="Arial" w:cs="Arial"/>
          <w:b/>
          <w:color w:val="686868"/>
          <w:sz w:val="20"/>
          <w:szCs w:val="20"/>
        </w:rPr>
      </w:pPr>
      <w:r>
        <w:rPr>
          <w:rFonts w:ascii="Arial" w:eastAsia="Arial" w:hAnsi="Arial" w:cs="Arial"/>
          <w:b/>
          <w:color w:val="686868"/>
          <w:sz w:val="20"/>
          <w:szCs w:val="20"/>
        </w:rPr>
        <w:t>Program Manager</w:t>
      </w:r>
    </w:p>
    <w:p w14:paraId="00000012" w14:textId="679C8F78" w:rsidR="003E77B6" w:rsidRDefault="00922320">
      <w:pPr>
        <w:spacing w:after="180"/>
        <w:rPr>
          <w:rFonts w:ascii="Arial" w:eastAsia="Arial" w:hAnsi="Arial" w:cs="Arial"/>
          <w:color w:val="363636"/>
          <w:sz w:val="20"/>
          <w:szCs w:val="20"/>
        </w:rPr>
      </w:pPr>
      <w:r>
        <w:rPr>
          <w:rFonts w:ascii="Arial" w:eastAsia="Arial" w:hAnsi="Arial" w:cs="Arial"/>
          <w:color w:val="363636"/>
          <w:sz w:val="20"/>
          <w:szCs w:val="20"/>
        </w:rPr>
        <w:t>N. Kent Peters</w:t>
      </w:r>
      <w:r>
        <w:rPr>
          <w:rFonts w:ascii="Arial" w:eastAsia="Arial" w:hAnsi="Arial" w:cs="Arial"/>
          <w:color w:val="363636"/>
          <w:sz w:val="20"/>
          <w:szCs w:val="20"/>
        </w:rPr>
        <w:br/>
        <w:t>Program Manager, Office of Biological and</w:t>
      </w:r>
      <w:r>
        <w:rPr>
          <w:rFonts w:ascii="Arial" w:eastAsia="Arial" w:hAnsi="Arial" w:cs="Arial"/>
          <w:color w:val="363636"/>
          <w:sz w:val="20"/>
          <w:szCs w:val="20"/>
        </w:rPr>
        <w:t xml:space="preserve"> Environmental Research</w:t>
      </w:r>
      <w:r>
        <w:rPr>
          <w:rFonts w:ascii="Arial" w:eastAsia="Arial" w:hAnsi="Arial" w:cs="Arial"/>
          <w:color w:val="363636"/>
          <w:sz w:val="20"/>
          <w:szCs w:val="20"/>
        </w:rPr>
        <w:br/>
      </w:r>
      <w:hyperlink r:id="rId7">
        <w:r>
          <w:rPr>
            <w:rFonts w:ascii="Arial" w:eastAsia="Arial" w:hAnsi="Arial" w:cs="Arial"/>
            <w:color w:val="1D61A2"/>
            <w:sz w:val="20"/>
            <w:szCs w:val="20"/>
          </w:rPr>
          <w:t>kent.pe</w:t>
        </w:r>
        <w:r>
          <w:rPr>
            <w:rFonts w:ascii="Arial" w:eastAsia="Arial" w:hAnsi="Arial" w:cs="Arial"/>
            <w:color w:val="1D61A2"/>
            <w:sz w:val="20"/>
            <w:szCs w:val="20"/>
          </w:rPr>
          <w:t>t</w:t>
        </w:r>
        <w:r>
          <w:rPr>
            <w:rFonts w:ascii="Arial" w:eastAsia="Arial" w:hAnsi="Arial" w:cs="Arial"/>
            <w:color w:val="1D61A2"/>
            <w:sz w:val="20"/>
            <w:szCs w:val="20"/>
          </w:rPr>
          <w:t>ers@science.doe.gov</w:t>
        </w:r>
      </w:hyperlink>
      <w:r>
        <w:rPr>
          <w:rFonts w:ascii="Arial" w:eastAsia="Arial" w:hAnsi="Arial" w:cs="Arial"/>
          <w:color w:val="363636"/>
          <w:sz w:val="20"/>
          <w:szCs w:val="20"/>
        </w:rPr>
        <w:t xml:space="preserve">, 301-903-5549 </w:t>
      </w:r>
    </w:p>
    <w:p w14:paraId="00000013" w14:textId="5918468C" w:rsidR="003E77B6" w:rsidRDefault="00922320">
      <w:pPr>
        <w:spacing w:before="240" w:after="60" w:line="240" w:lineRule="auto"/>
        <w:rPr>
          <w:rFonts w:ascii="Arial" w:eastAsia="Arial" w:hAnsi="Arial" w:cs="Arial"/>
          <w:b/>
          <w:color w:val="686868"/>
          <w:sz w:val="20"/>
          <w:szCs w:val="20"/>
        </w:rPr>
      </w:pPr>
      <w:r>
        <w:rPr>
          <w:rFonts w:ascii="Arial" w:eastAsia="Arial" w:hAnsi="Arial" w:cs="Arial"/>
          <w:b/>
          <w:color w:val="686868"/>
          <w:sz w:val="20"/>
          <w:szCs w:val="20"/>
        </w:rPr>
        <w:lastRenderedPageBreak/>
        <w:t>Corresponding Authors</w:t>
      </w:r>
    </w:p>
    <w:p w14:paraId="00000014" w14:textId="77777777" w:rsidR="003E77B6" w:rsidRDefault="00922320">
      <w:pPr>
        <w:spacing w:after="180"/>
        <w:rPr>
          <w:rFonts w:ascii="Arial" w:eastAsia="Arial" w:hAnsi="Arial" w:cs="Arial"/>
          <w:color w:val="363636"/>
          <w:sz w:val="20"/>
          <w:szCs w:val="20"/>
        </w:rPr>
      </w:pPr>
      <w:r>
        <w:rPr>
          <w:rFonts w:ascii="Arial" w:eastAsia="Arial" w:hAnsi="Arial" w:cs="Arial"/>
          <w:color w:val="363636"/>
          <w:sz w:val="20"/>
          <w:szCs w:val="20"/>
        </w:rPr>
        <w:t>Robert Landick</w:t>
      </w:r>
      <w:r>
        <w:rPr>
          <w:rFonts w:ascii="Arial" w:eastAsia="Arial" w:hAnsi="Arial" w:cs="Arial"/>
          <w:color w:val="363636"/>
          <w:sz w:val="20"/>
          <w:szCs w:val="20"/>
        </w:rPr>
        <w:br/>
        <w:t>University of Wisconsin–Madison</w:t>
      </w:r>
      <w:r>
        <w:rPr>
          <w:rFonts w:ascii="Arial" w:eastAsia="Arial" w:hAnsi="Arial" w:cs="Arial"/>
          <w:color w:val="363636"/>
          <w:sz w:val="20"/>
          <w:szCs w:val="20"/>
        </w:rPr>
        <w:br/>
      </w:r>
      <w:hyperlink r:id="rId8">
        <w:r>
          <w:rPr>
            <w:rFonts w:ascii="Arial" w:eastAsia="Arial" w:hAnsi="Arial" w:cs="Arial"/>
            <w:color w:val="1155CC"/>
            <w:sz w:val="20"/>
            <w:szCs w:val="20"/>
            <w:u w:val="single"/>
          </w:rPr>
          <w:t>landick@bact.wisc.edu</w:t>
        </w:r>
      </w:hyperlink>
    </w:p>
    <w:p w14:paraId="28C3393F" w14:textId="77777777" w:rsidR="00603C68" w:rsidRDefault="00603C68" w:rsidP="00603C68">
      <w:pPr>
        <w:widowControl w:val="0"/>
        <w:spacing w:after="0"/>
        <w:rPr>
          <w:rFonts w:ascii="Arial" w:eastAsia="Arial" w:hAnsi="Arial" w:cs="Arial"/>
          <w:color w:val="363636"/>
          <w:sz w:val="20"/>
          <w:szCs w:val="20"/>
        </w:rPr>
      </w:pPr>
      <w:r>
        <w:rPr>
          <w:rFonts w:ascii="Arial" w:eastAsia="Arial" w:hAnsi="Arial" w:cs="Arial"/>
          <w:color w:val="363636"/>
          <w:sz w:val="20"/>
          <w:szCs w:val="20"/>
        </w:rPr>
        <w:t>Timothy Donohue</w:t>
      </w:r>
    </w:p>
    <w:p w14:paraId="6477F443" w14:textId="77777777" w:rsidR="00603C68" w:rsidRDefault="00603C68" w:rsidP="00603C68">
      <w:pPr>
        <w:widowControl w:val="0"/>
        <w:spacing w:after="0"/>
        <w:rPr>
          <w:rFonts w:ascii="Arial" w:eastAsia="Arial" w:hAnsi="Arial" w:cs="Arial"/>
          <w:color w:val="363636"/>
          <w:sz w:val="20"/>
          <w:szCs w:val="20"/>
        </w:rPr>
      </w:pPr>
      <w:r>
        <w:rPr>
          <w:rFonts w:ascii="Arial" w:eastAsia="Arial" w:hAnsi="Arial" w:cs="Arial"/>
          <w:color w:val="363636"/>
          <w:sz w:val="20"/>
          <w:szCs w:val="20"/>
        </w:rPr>
        <w:t>University of Wisconsin-Madison</w:t>
      </w:r>
    </w:p>
    <w:p w14:paraId="12009B36" w14:textId="7F8D49C6" w:rsidR="00603C68" w:rsidRDefault="00603C68" w:rsidP="00603C68">
      <w:pPr>
        <w:widowControl w:val="0"/>
        <w:spacing w:after="0"/>
        <w:rPr>
          <w:rFonts w:ascii="Arial" w:eastAsia="Arial" w:hAnsi="Arial" w:cs="Arial"/>
          <w:color w:val="363636"/>
          <w:sz w:val="20"/>
          <w:szCs w:val="20"/>
        </w:rPr>
      </w:pPr>
      <w:hyperlink r:id="rId9">
        <w:r>
          <w:rPr>
            <w:rFonts w:ascii="Arial" w:eastAsia="Arial" w:hAnsi="Arial" w:cs="Arial"/>
            <w:color w:val="1155CC"/>
            <w:sz w:val="20"/>
            <w:szCs w:val="20"/>
            <w:u w:val="single"/>
          </w:rPr>
          <w:t>tdonohue@bact.wisc.edu</w:t>
        </w:r>
      </w:hyperlink>
    </w:p>
    <w:p w14:paraId="6A54346D" w14:textId="77777777" w:rsidR="00603C68" w:rsidRDefault="00603C68" w:rsidP="00603C68">
      <w:pPr>
        <w:widowControl w:val="0"/>
        <w:spacing w:after="0"/>
        <w:rPr>
          <w:rFonts w:ascii="Arial" w:eastAsia="Arial" w:hAnsi="Arial" w:cs="Arial"/>
          <w:color w:val="363636"/>
          <w:sz w:val="20"/>
          <w:szCs w:val="20"/>
        </w:rPr>
      </w:pPr>
    </w:p>
    <w:p w14:paraId="00000019" w14:textId="3B6C3169" w:rsidR="003E77B6" w:rsidRDefault="00922320" w:rsidP="00603C68">
      <w:pPr>
        <w:widowControl w:val="0"/>
        <w:spacing w:after="180"/>
        <w:rPr>
          <w:rFonts w:ascii="Arial" w:eastAsia="Arial" w:hAnsi="Arial" w:cs="Arial"/>
          <w:color w:val="363636"/>
          <w:sz w:val="20"/>
          <w:szCs w:val="20"/>
        </w:rPr>
      </w:pPr>
      <w:r>
        <w:rPr>
          <w:rFonts w:ascii="Arial" w:eastAsia="Arial" w:hAnsi="Arial" w:cs="Arial"/>
          <w:color w:val="363636"/>
          <w:sz w:val="20"/>
          <w:szCs w:val="20"/>
        </w:rPr>
        <w:t>Richard L. Gourse</w:t>
      </w:r>
      <w:r>
        <w:rPr>
          <w:rFonts w:ascii="Arial" w:eastAsia="Arial" w:hAnsi="Arial" w:cs="Arial"/>
          <w:color w:val="363636"/>
          <w:sz w:val="20"/>
          <w:szCs w:val="20"/>
        </w:rPr>
        <w:br/>
        <w:t>University of Wisconsin–Madison</w:t>
      </w:r>
      <w:r>
        <w:rPr>
          <w:rFonts w:ascii="Arial" w:eastAsia="Arial" w:hAnsi="Arial" w:cs="Arial"/>
          <w:color w:val="363636"/>
          <w:sz w:val="20"/>
          <w:szCs w:val="20"/>
        </w:rPr>
        <w:br/>
      </w:r>
      <w:hyperlink r:id="rId10">
        <w:r>
          <w:rPr>
            <w:rFonts w:ascii="Arial" w:eastAsia="Arial" w:hAnsi="Arial" w:cs="Arial"/>
            <w:color w:val="1155CC"/>
            <w:sz w:val="20"/>
            <w:szCs w:val="20"/>
            <w:u w:val="single"/>
          </w:rPr>
          <w:t>rgourse@bact.wisc.edu</w:t>
        </w:r>
      </w:hyperlink>
    </w:p>
    <w:p w14:paraId="0000001A" w14:textId="77777777" w:rsidR="003E77B6" w:rsidRDefault="00922320">
      <w:pPr>
        <w:spacing w:before="280" w:after="60"/>
        <w:rPr>
          <w:rFonts w:ascii="Arial" w:eastAsia="Arial" w:hAnsi="Arial" w:cs="Arial"/>
          <w:b/>
          <w:color w:val="686868"/>
          <w:sz w:val="25"/>
          <w:szCs w:val="25"/>
        </w:rPr>
      </w:pPr>
      <w:r>
        <w:rPr>
          <w:rFonts w:ascii="Arial" w:eastAsia="Arial" w:hAnsi="Arial" w:cs="Arial"/>
          <w:b/>
          <w:color w:val="686868"/>
          <w:sz w:val="25"/>
          <w:szCs w:val="25"/>
        </w:rPr>
        <w:t>Funding</w:t>
      </w:r>
    </w:p>
    <w:p w14:paraId="0000001C" w14:textId="77777777" w:rsidR="003E77B6" w:rsidRDefault="00922320" w:rsidP="00603C68">
      <w:pPr>
        <w:spacing w:after="180"/>
        <w:rPr>
          <w:rFonts w:ascii="Arial" w:eastAsia="Arial" w:hAnsi="Arial" w:cs="Arial"/>
          <w:color w:val="363636"/>
          <w:sz w:val="20"/>
          <w:szCs w:val="20"/>
        </w:rPr>
      </w:pPr>
      <w:r>
        <w:rPr>
          <w:rFonts w:ascii="Arial" w:eastAsia="Arial" w:hAnsi="Arial" w:cs="Arial"/>
          <w:color w:val="363636"/>
          <w:sz w:val="20"/>
          <w:szCs w:val="20"/>
        </w:rPr>
        <w:t>This research was supported by the Great Lakes Bioenergy Research Center, U.S. Department of Energy, Office of Science, Office of Biological and Environmental Research (DE-SC0018409); the National Institutes of Health (NIH R01 GM37048 a</w:t>
      </w:r>
      <w:r>
        <w:rPr>
          <w:rFonts w:ascii="Arial" w:eastAsia="Arial" w:hAnsi="Arial" w:cs="Arial"/>
          <w:color w:val="363636"/>
          <w:sz w:val="20"/>
          <w:szCs w:val="20"/>
        </w:rPr>
        <w:t xml:space="preserve">nd T32GM007215); and the Jack Kent Cooke Foundation. </w:t>
      </w:r>
    </w:p>
    <w:p w14:paraId="0000001D" w14:textId="77777777" w:rsidR="003E77B6" w:rsidRDefault="00922320">
      <w:pPr>
        <w:spacing w:before="280" w:after="60"/>
        <w:rPr>
          <w:rFonts w:ascii="Arial" w:eastAsia="Arial" w:hAnsi="Arial" w:cs="Arial"/>
          <w:b/>
          <w:color w:val="686868"/>
          <w:sz w:val="25"/>
          <w:szCs w:val="25"/>
        </w:rPr>
      </w:pPr>
      <w:r>
        <w:rPr>
          <w:rFonts w:ascii="Arial" w:eastAsia="Arial" w:hAnsi="Arial" w:cs="Arial"/>
          <w:b/>
          <w:color w:val="686868"/>
          <w:sz w:val="25"/>
          <w:szCs w:val="25"/>
        </w:rPr>
        <w:t>Publications</w:t>
      </w:r>
    </w:p>
    <w:p w14:paraId="0000001E" w14:textId="77777777" w:rsidR="003E77B6" w:rsidRDefault="00922320">
      <w:pPr>
        <w:shd w:val="clear" w:color="auto" w:fill="FFFFFF"/>
        <w:rPr>
          <w:rFonts w:ascii="Arial" w:eastAsia="Arial" w:hAnsi="Arial" w:cs="Arial"/>
          <w:sz w:val="20"/>
          <w:szCs w:val="20"/>
        </w:rPr>
      </w:pPr>
      <w:r>
        <w:rPr>
          <w:rFonts w:ascii="Arial" w:eastAsia="Arial" w:hAnsi="Arial" w:cs="Arial"/>
          <w:sz w:val="20"/>
          <w:szCs w:val="20"/>
        </w:rPr>
        <w:t>Vera, J.M., Ghosh, I.N., Zhang, Y., Hebert, A.S., Coon, J.J., Landick, R., “</w:t>
      </w:r>
      <w:hyperlink r:id="rId11">
        <w:r>
          <w:rPr>
            <w:rFonts w:ascii="Arial" w:eastAsia="Arial" w:hAnsi="Arial" w:cs="Arial"/>
            <w:color w:val="1155CC"/>
            <w:sz w:val="20"/>
            <w:szCs w:val="20"/>
            <w:u w:val="single"/>
          </w:rPr>
          <w:t xml:space="preserve">Genome-Scale Transcription-Translation Mapping Reveals Features of </w:t>
        </w:r>
      </w:hyperlink>
      <w:hyperlink r:id="rId12">
        <w:r>
          <w:rPr>
            <w:rFonts w:ascii="Arial" w:eastAsia="Arial" w:hAnsi="Arial" w:cs="Arial"/>
            <w:i/>
            <w:color w:val="1155CC"/>
            <w:sz w:val="20"/>
            <w:szCs w:val="20"/>
            <w:u w:val="single"/>
          </w:rPr>
          <w:t>Zymomonas mobilis</w:t>
        </w:r>
      </w:hyperlink>
      <w:hyperlink r:id="rId13">
        <w:r>
          <w:rPr>
            <w:rFonts w:ascii="Arial" w:eastAsia="Arial" w:hAnsi="Arial" w:cs="Arial"/>
            <w:color w:val="1155CC"/>
            <w:sz w:val="20"/>
            <w:szCs w:val="20"/>
            <w:u w:val="single"/>
          </w:rPr>
          <w:t xml:space="preserve"> Transcription Units and Promoters</w:t>
        </w:r>
      </w:hyperlink>
      <w:r>
        <w:rPr>
          <w:rFonts w:ascii="Arial" w:eastAsia="Arial" w:hAnsi="Arial" w:cs="Arial"/>
          <w:sz w:val="20"/>
          <w:szCs w:val="20"/>
        </w:rPr>
        <w:t xml:space="preserve">,” </w:t>
      </w:r>
      <w:r>
        <w:rPr>
          <w:rFonts w:ascii="Arial" w:eastAsia="Arial" w:hAnsi="Arial" w:cs="Arial"/>
          <w:i/>
          <w:sz w:val="20"/>
          <w:szCs w:val="20"/>
        </w:rPr>
        <w:t>mSystems</w:t>
      </w:r>
      <w:r>
        <w:rPr>
          <w:rFonts w:ascii="Arial" w:eastAsia="Arial" w:hAnsi="Arial" w:cs="Arial"/>
          <w:sz w:val="20"/>
          <w:szCs w:val="20"/>
        </w:rPr>
        <w:t xml:space="preserve"> </w:t>
      </w:r>
      <w:r>
        <w:rPr>
          <w:rFonts w:ascii="Arial" w:eastAsia="Arial" w:hAnsi="Arial" w:cs="Arial"/>
          <w:b/>
          <w:sz w:val="20"/>
          <w:szCs w:val="20"/>
        </w:rPr>
        <w:t>5</w:t>
      </w:r>
      <w:r>
        <w:rPr>
          <w:rFonts w:ascii="Arial" w:eastAsia="Arial" w:hAnsi="Arial" w:cs="Arial"/>
          <w:sz w:val="20"/>
          <w:szCs w:val="20"/>
        </w:rPr>
        <w:t xml:space="preserve">:e00250-20 (2020). [DOI: </w:t>
      </w:r>
      <w:hyperlink r:id="rId14">
        <w:r>
          <w:rPr>
            <w:rFonts w:ascii="Arial" w:eastAsia="Arial" w:hAnsi="Arial" w:cs="Arial"/>
            <w:color w:val="1155CC"/>
            <w:sz w:val="20"/>
            <w:szCs w:val="20"/>
            <w:u w:val="single"/>
          </w:rPr>
          <w:t>10.1128/mSystems.0</w:t>
        </w:r>
        <w:r>
          <w:rPr>
            <w:rFonts w:ascii="Arial" w:eastAsia="Arial" w:hAnsi="Arial" w:cs="Arial"/>
            <w:color w:val="1155CC"/>
            <w:sz w:val="20"/>
            <w:szCs w:val="20"/>
            <w:u w:val="single"/>
          </w:rPr>
          <w:t>0250-20</w:t>
        </w:r>
      </w:hyperlink>
      <w:r>
        <w:rPr>
          <w:rFonts w:ascii="Arial" w:eastAsia="Arial" w:hAnsi="Arial" w:cs="Arial"/>
          <w:sz w:val="20"/>
          <w:szCs w:val="20"/>
        </w:rPr>
        <w:t>]</w:t>
      </w:r>
    </w:p>
    <w:p w14:paraId="0000001F" w14:textId="77777777" w:rsidR="003E77B6" w:rsidRDefault="00922320">
      <w:pPr>
        <w:shd w:val="clear" w:color="auto" w:fill="FFFFFF"/>
        <w:rPr>
          <w:rFonts w:ascii="Arial" w:eastAsia="Arial" w:hAnsi="Arial" w:cs="Arial"/>
          <w:sz w:val="20"/>
          <w:szCs w:val="20"/>
        </w:rPr>
      </w:pPr>
      <w:r>
        <w:rPr>
          <w:rFonts w:ascii="Arial" w:eastAsia="Arial" w:hAnsi="Arial" w:cs="Arial"/>
          <w:sz w:val="20"/>
          <w:szCs w:val="20"/>
        </w:rPr>
        <w:t>Myers, K.S., Vera, J.M., Lemmer, K.C., Linz, A.M., Landick, R., Noguera, D.R., Donohue, T.J., “</w:t>
      </w:r>
      <w:hyperlink r:id="rId15">
        <w:r>
          <w:rPr>
            <w:rFonts w:ascii="Arial" w:eastAsia="Arial" w:hAnsi="Arial" w:cs="Arial"/>
            <w:color w:val="1155CC"/>
            <w:sz w:val="20"/>
            <w:szCs w:val="20"/>
            <w:u w:val="single"/>
          </w:rPr>
          <w:t xml:space="preserve">Genome-Wide Identification of Transcription Start Sites in Two </w:t>
        </w:r>
      </w:hyperlink>
      <w:hyperlink r:id="rId16">
        <w:r>
          <w:rPr>
            <w:rFonts w:ascii="Arial" w:eastAsia="Arial" w:hAnsi="Arial" w:cs="Arial"/>
            <w:i/>
            <w:color w:val="1155CC"/>
            <w:sz w:val="20"/>
            <w:szCs w:val="20"/>
            <w:u w:val="single"/>
          </w:rPr>
          <w:t>Alphaproteobacteria</w:t>
        </w:r>
      </w:hyperlink>
      <w:hyperlink r:id="rId17">
        <w:r>
          <w:rPr>
            <w:rFonts w:ascii="Arial" w:eastAsia="Arial" w:hAnsi="Arial" w:cs="Arial"/>
            <w:color w:val="1155CC"/>
            <w:sz w:val="20"/>
            <w:szCs w:val="20"/>
            <w:u w:val="single"/>
          </w:rPr>
          <w:t xml:space="preserve">, </w:t>
        </w:r>
      </w:hyperlink>
      <w:hyperlink r:id="rId18">
        <w:r>
          <w:rPr>
            <w:rFonts w:ascii="Arial" w:eastAsia="Arial" w:hAnsi="Arial" w:cs="Arial"/>
            <w:i/>
            <w:color w:val="1155CC"/>
            <w:sz w:val="20"/>
            <w:szCs w:val="20"/>
            <w:u w:val="single"/>
          </w:rPr>
          <w:t>Rhodobacter sphaeroides</w:t>
        </w:r>
      </w:hyperlink>
      <w:hyperlink r:id="rId19">
        <w:r>
          <w:rPr>
            <w:rFonts w:ascii="Arial" w:eastAsia="Arial" w:hAnsi="Arial" w:cs="Arial"/>
            <w:color w:val="1155CC"/>
            <w:sz w:val="20"/>
            <w:szCs w:val="20"/>
            <w:u w:val="single"/>
          </w:rPr>
          <w:t xml:space="preserve"> 2.4.1 and </w:t>
        </w:r>
      </w:hyperlink>
      <w:hyperlink r:id="rId20">
        <w:r>
          <w:rPr>
            <w:rFonts w:ascii="Arial" w:eastAsia="Arial" w:hAnsi="Arial" w:cs="Arial"/>
            <w:i/>
            <w:color w:val="1155CC"/>
            <w:sz w:val="20"/>
            <w:szCs w:val="20"/>
            <w:u w:val="single"/>
          </w:rPr>
          <w:t>Novosphingobium aromaticivorans</w:t>
        </w:r>
      </w:hyperlink>
      <w:hyperlink r:id="rId21">
        <w:r>
          <w:rPr>
            <w:rFonts w:ascii="Arial" w:eastAsia="Arial" w:hAnsi="Arial" w:cs="Arial"/>
            <w:color w:val="1155CC"/>
            <w:sz w:val="20"/>
            <w:szCs w:val="20"/>
            <w:u w:val="single"/>
          </w:rPr>
          <w:t xml:space="preserve"> DSM 12444</w:t>
        </w:r>
      </w:hyperlink>
      <w:r>
        <w:rPr>
          <w:rFonts w:ascii="Arial" w:eastAsia="Arial" w:hAnsi="Arial" w:cs="Arial"/>
          <w:sz w:val="20"/>
          <w:szCs w:val="20"/>
        </w:rPr>
        <w:t xml:space="preserve">,” </w:t>
      </w:r>
      <w:r>
        <w:rPr>
          <w:rFonts w:ascii="Arial" w:eastAsia="Arial" w:hAnsi="Arial" w:cs="Arial"/>
          <w:i/>
          <w:sz w:val="20"/>
          <w:szCs w:val="20"/>
        </w:rPr>
        <w:t>Microbiology Resource Announcements</w:t>
      </w:r>
      <w:r>
        <w:rPr>
          <w:rFonts w:ascii="Arial" w:eastAsia="Arial" w:hAnsi="Arial" w:cs="Arial"/>
          <w:sz w:val="20"/>
          <w:szCs w:val="20"/>
        </w:rPr>
        <w:t xml:space="preserve"> </w:t>
      </w:r>
      <w:r>
        <w:rPr>
          <w:rFonts w:ascii="Arial" w:eastAsia="Arial" w:hAnsi="Arial" w:cs="Arial"/>
          <w:b/>
          <w:sz w:val="20"/>
          <w:szCs w:val="20"/>
        </w:rPr>
        <w:t>9</w:t>
      </w:r>
      <w:r>
        <w:rPr>
          <w:rFonts w:ascii="Arial" w:eastAsia="Arial" w:hAnsi="Arial" w:cs="Arial"/>
          <w:sz w:val="20"/>
          <w:szCs w:val="20"/>
        </w:rPr>
        <w:t xml:space="preserve"> (36) e00880-20 (2020) [DOI: </w:t>
      </w:r>
      <w:hyperlink r:id="rId22">
        <w:r>
          <w:rPr>
            <w:rFonts w:ascii="Arial" w:eastAsia="Arial" w:hAnsi="Arial" w:cs="Arial"/>
            <w:color w:val="1155CC"/>
            <w:sz w:val="20"/>
            <w:szCs w:val="20"/>
            <w:u w:val="single"/>
          </w:rPr>
          <w:t>10.1128/MRA.00880-</w:t>
        </w:r>
        <w:r>
          <w:rPr>
            <w:rFonts w:ascii="Arial" w:eastAsia="Arial" w:hAnsi="Arial" w:cs="Arial"/>
            <w:color w:val="1155CC"/>
            <w:sz w:val="20"/>
            <w:szCs w:val="20"/>
            <w:u w:val="single"/>
          </w:rPr>
          <w:t>20</w:t>
        </w:r>
      </w:hyperlink>
      <w:r>
        <w:rPr>
          <w:rFonts w:ascii="Arial" w:eastAsia="Arial" w:hAnsi="Arial" w:cs="Arial"/>
          <w:sz w:val="20"/>
          <w:szCs w:val="20"/>
        </w:rPr>
        <w:t>]</w:t>
      </w:r>
    </w:p>
    <w:p w14:paraId="00000020" w14:textId="77777777" w:rsidR="003E77B6" w:rsidRDefault="00922320">
      <w:pPr>
        <w:shd w:val="clear" w:color="auto" w:fill="FFFFFF"/>
        <w:rPr>
          <w:rFonts w:ascii="Arial" w:eastAsia="Arial" w:hAnsi="Arial" w:cs="Arial"/>
          <w:sz w:val="20"/>
          <w:szCs w:val="20"/>
        </w:rPr>
      </w:pPr>
      <w:r>
        <w:rPr>
          <w:rFonts w:ascii="Arial" w:eastAsia="Arial" w:hAnsi="Arial" w:cs="Arial"/>
          <w:sz w:val="20"/>
          <w:szCs w:val="20"/>
        </w:rPr>
        <w:t xml:space="preserve">Henry, K.K., Ross, W., Myers, K.S., Lemmer, K.C., Vera, J.M., Landick. R., Donohue, T.J., Gourse, R.L., “A majority of </w:t>
      </w:r>
      <w:r>
        <w:rPr>
          <w:rFonts w:ascii="Arial" w:eastAsia="Arial" w:hAnsi="Arial" w:cs="Arial"/>
          <w:i/>
          <w:sz w:val="20"/>
          <w:szCs w:val="20"/>
        </w:rPr>
        <w:t>Rhodobacter sphaeroides</w:t>
      </w:r>
      <w:r>
        <w:rPr>
          <w:rFonts w:ascii="Arial" w:eastAsia="Arial" w:hAnsi="Arial" w:cs="Arial"/>
          <w:sz w:val="20"/>
          <w:szCs w:val="20"/>
        </w:rPr>
        <w:t xml:space="preserve"> promoters lack a crucial RNA polymerase recognition feature, enabling coordinated transcription activation,” </w:t>
      </w:r>
      <w:r>
        <w:rPr>
          <w:rFonts w:ascii="Arial" w:eastAsia="Arial" w:hAnsi="Arial" w:cs="Arial"/>
          <w:i/>
          <w:sz w:val="20"/>
          <w:szCs w:val="20"/>
        </w:rPr>
        <w:t>Proceedings of the National Academy of Sciences</w:t>
      </w:r>
      <w:r>
        <w:rPr>
          <w:rFonts w:ascii="Arial" w:eastAsia="Arial" w:hAnsi="Arial" w:cs="Arial"/>
          <w:sz w:val="20"/>
          <w:szCs w:val="20"/>
        </w:rPr>
        <w:t xml:space="preserve"> (2020) [DOI: </w:t>
      </w:r>
      <w:hyperlink r:id="rId23">
        <w:r>
          <w:rPr>
            <w:rFonts w:ascii="Arial" w:eastAsia="Arial" w:hAnsi="Arial" w:cs="Arial"/>
            <w:color w:val="1155CC"/>
            <w:sz w:val="20"/>
            <w:szCs w:val="20"/>
            <w:u w:val="single"/>
          </w:rPr>
          <w:t>10.1073/pnas.2010087117</w:t>
        </w:r>
      </w:hyperlink>
      <w:r>
        <w:rPr>
          <w:rFonts w:ascii="Arial" w:eastAsia="Arial" w:hAnsi="Arial" w:cs="Arial"/>
          <w:sz w:val="20"/>
          <w:szCs w:val="20"/>
        </w:rPr>
        <w:t>]</w:t>
      </w:r>
    </w:p>
    <w:p w14:paraId="00000021" w14:textId="77777777" w:rsidR="003E77B6" w:rsidRDefault="00922320">
      <w:pPr>
        <w:spacing w:after="180"/>
        <w:rPr>
          <w:rFonts w:ascii="Arial" w:eastAsia="Arial" w:hAnsi="Arial" w:cs="Arial"/>
          <w:b/>
          <w:color w:val="686868"/>
          <w:sz w:val="25"/>
          <w:szCs w:val="25"/>
        </w:rPr>
      </w:pPr>
      <w:r>
        <w:rPr>
          <w:rFonts w:ascii="Arial" w:eastAsia="Arial" w:hAnsi="Arial" w:cs="Arial"/>
          <w:b/>
          <w:color w:val="686868"/>
          <w:sz w:val="25"/>
          <w:szCs w:val="25"/>
        </w:rPr>
        <w:t>R</w:t>
      </w:r>
      <w:r>
        <w:rPr>
          <w:rFonts w:ascii="Arial" w:eastAsia="Arial" w:hAnsi="Arial" w:cs="Arial"/>
          <w:b/>
          <w:color w:val="686868"/>
          <w:sz w:val="25"/>
          <w:szCs w:val="25"/>
        </w:rPr>
        <w:t>elated Links</w:t>
      </w:r>
    </w:p>
    <w:p w14:paraId="00000022" w14:textId="77777777" w:rsidR="003E77B6" w:rsidRDefault="00922320">
      <w:pPr>
        <w:spacing w:after="180"/>
        <w:rPr>
          <w:rFonts w:ascii="Arial" w:eastAsia="Arial" w:hAnsi="Arial" w:cs="Arial"/>
          <w:color w:val="363636"/>
          <w:sz w:val="20"/>
          <w:szCs w:val="20"/>
        </w:rPr>
      </w:pPr>
      <w:hyperlink r:id="rId24">
        <w:r>
          <w:rPr>
            <w:rFonts w:ascii="Arial" w:eastAsia="Arial" w:hAnsi="Arial" w:cs="Arial"/>
            <w:color w:val="1155CC"/>
            <w:sz w:val="20"/>
            <w:szCs w:val="20"/>
            <w:u w:val="single"/>
          </w:rPr>
          <w:t>https://www.glbrc.org/research/highlights/uncovering-new-features-of-bacterial-control-elements</w:t>
        </w:r>
      </w:hyperlink>
    </w:p>
    <w:sectPr w:rsidR="003E77B6">
      <w:headerReference w:type="default" r:id="rId2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7BA60" w14:textId="77777777" w:rsidR="00922320" w:rsidRDefault="00922320">
      <w:pPr>
        <w:spacing w:after="0" w:line="240" w:lineRule="auto"/>
      </w:pPr>
      <w:r>
        <w:separator/>
      </w:r>
    </w:p>
  </w:endnote>
  <w:endnote w:type="continuationSeparator" w:id="0">
    <w:p w14:paraId="55669F04" w14:textId="77777777" w:rsidR="00922320" w:rsidRDefault="00922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380A1" w14:textId="77777777" w:rsidR="00922320" w:rsidRDefault="00922320">
      <w:pPr>
        <w:spacing w:after="0" w:line="240" w:lineRule="auto"/>
      </w:pPr>
      <w:r>
        <w:separator/>
      </w:r>
    </w:p>
  </w:footnote>
  <w:footnote w:type="continuationSeparator" w:id="0">
    <w:p w14:paraId="29BEBD4B" w14:textId="77777777" w:rsidR="00922320" w:rsidRDefault="00922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3" w14:textId="77777777" w:rsidR="003E77B6" w:rsidRDefault="00922320">
    <w:pPr>
      <w:pBdr>
        <w:top w:val="nil"/>
        <w:left w:val="nil"/>
        <w:bottom w:val="nil"/>
        <w:right w:val="nil"/>
        <w:between w:val="nil"/>
      </w:pBdr>
      <w:shd w:val="clear" w:color="auto" w:fill="004285"/>
      <w:tabs>
        <w:tab w:val="center" w:pos="4680"/>
        <w:tab w:val="right" w:pos="9360"/>
      </w:tabs>
      <w:spacing w:after="0" w:line="240" w:lineRule="auto"/>
      <w:jc w:val="center"/>
      <w:rPr>
        <w:color w:val="FFFFFF"/>
        <w:sz w:val="20"/>
        <w:szCs w:val="20"/>
      </w:rPr>
    </w:pPr>
    <w:r>
      <w:rPr>
        <w:b/>
        <w:color w:val="FFFFFF"/>
        <w:sz w:val="24"/>
        <w:szCs w:val="24"/>
      </w:rPr>
      <w:t>BER</w:t>
    </w:r>
    <w:r>
      <w:rPr>
        <w:b/>
        <w:color w:val="FFFFFF"/>
        <w:sz w:val="28"/>
        <w:szCs w:val="28"/>
      </w:rPr>
      <w:t xml:space="preserve"> </w:t>
    </w:r>
    <w:r>
      <w:rPr>
        <w:b/>
        <w:color w:val="FFFFFF"/>
        <w:sz w:val="24"/>
        <w:szCs w:val="24"/>
      </w:rPr>
      <w:t>Highlights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7B6"/>
    <w:rsid w:val="003E77B6"/>
    <w:rsid w:val="00603C68"/>
    <w:rsid w:val="00922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9F9972"/>
  <w15:docId w15:val="{63825EA3-B3A7-6E42-A6DF-23F46BD9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semiHidden/>
    <w:unhideWhenUsed/>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5641"/>
    <w:rPr>
      <w:color w:val="808080"/>
    </w:rPr>
  </w:style>
  <w:style w:type="character" w:styleId="CommentReference">
    <w:name w:val="annotation reference"/>
    <w:basedOn w:val="DefaultParagraphFont"/>
    <w:uiPriority w:val="99"/>
    <w:semiHidden/>
    <w:unhideWhenUsed/>
    <w:rsid w:val="008E666C"/>
    <w:rPr>
      <w:sz w:val="16"/>
      <w:szCs w:val="16"/>
    </w:rPr>
  </w:style>
  <w:style w:type="paragraph" w:styleId="CommentText">
    <w:name w:val="annotation text"/>
    <w:basedOn w:val="Normal"/>
    <w:link w:val="CommentTextChar"/>
    <w:uiPriority w:val="99"/>
    <w:semiHidden/>
    <w:unhideWhenUsed/>
    <w:rsid w:val="008E666C"/>
    <w:pPr>
      <w:spacing w:line="240" w:lineRule="auto"/>
    </w:pPr>
    <w:rPr>
      <w:sz w:val="20"/>
      <w:szCs w:val="20"/>
    </w:rPr>
  </w:style>
  <w:style w:type="character" w:customStyle="1" w:styleId="CommentTextChar">
    <w:name w:val="Comment Text Char"/>
    <w:basedOn w:val="DefaultParagraphFont"/>
    <w:link w:val="CommentText"/>
    <w:uiPriority w:val="99"/>
    <w:semiHidden/>
    <w:rsid w:val="008E666C"/>
    <w:rPr>
      <w:sz w:val="20"/>
      <w:szCs w:val="20"/>
    </w:rPr>
  </w:style>
  <w:style w:type="paragraph" w:styleId="CommentSubject">
    <w:name w:val="annotation subject"/>
    <w:basedOn w:val="CommentText"/>
    <w:next w:val="CommentText"/>
    <w:link w:val="CommentSubjectChar"/>
    <w:uiPriority w:val="99"/>
    <w:semiHidden/>
    <w:unhideWhenUsed/>
    <w:rsid w:val="008E666C"/>
    <w:rPr>
      <w:b/>
      <w:bCs/>
    </w:rPr>
  </w:style>
  <w:style w:type="character" w:customStyle="1" w:styleId="CommentSubjectChar">
    <w:name w:val="Comment Subject Char"/>
    <w:basedOn w:val="CommentTextChar"/>
    <w:link w:val="CommentSubject"/>
    <w:uiPriority w:val="99"/>
    <w:semiHidden/>
    <w:rsid w:val="008E666C"/>
    <w:rPr>
      <w:b/>
      <w:bCs/>
      <w:sz w:val="20"/>
      <w:szCs w:val="20"/>
    </w:rPr>
  </w:style>
  <w:style w:type="character" w:styleId="FollowedHyperlink">
    <w:name w:val="FollowedHyperlink"/>
    <w:basedOn w:val="DefaultParagraphFont"/>
    <w:uiPriority w:val="99"/>
    <w:semiHidden/>
    <w:unhideWhenUsed/>
    <w:rsid w:val="000600D4"/>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landick@bact.wisc.edu" TargetMode="External"/><Relationship Id="rId13" Type="http://schemas.openxmlformats.org/officeDocument/2006/relationships/hyperlink" Target="https://www.osti.gov/pages/biblio/1639129-genome-scale-transcription-translation-mapping-reveals-features-zymomonas-mobilis-transcription-units-promoters" TargetMode="External"/><Relationship Id="rId18" Type="http://schemas.openxmlformats.org/officeDocument/2006/relationships/hyperlink" Target="https://www.osti.gov/pages/biblio/1657307-genome-wide-identification-transcription-start-sites-two-alphaproteobacteria-rhodobacter-sphaeroides-novosphingobium-aromaticivorans-ds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osti.gov/pages/biblio/1657307-genome-wide-identification-transcription-start-sites-two-alphaproteobacteria-rhodobacter-sphaeroides-novosphingobium-aromaticivorans-dsm" TargetMode="External"/><Relationship Id="rId7" Type="http://schemas.openxmlformats.org/officeDocument/2006/relationships/hyperlink" Target="mailto:kent.peters@science.doe.gov" TargetMode="External"/><Relationship Id="rId12" Type="http://schemas.openxmlformats.org/officeDocument/2006/relationships/hyperlink" Target="https://www.osti.gov/pages/biblio/1639129-genome-scale-transcription-translation-mapping-reveals-features-zymomonas-mobilis-transcription-units-promoters" TargetMode="External"/><Relationship Id="rId17" Type="http://schemas.openxmlformats.org/officeDocument/2006/relationships/hyperlink" Target="https://www.osti.gov/pages/biblio/1657307-genome-wide-identification-transcription-start-sites-two-alphaproteobacteria-rhodobacter-sphaeroides-novosphingobium-aromaticivorans-ds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osti.gov/pages/biblio/1657307-genome-wide-identification-transcription-start-sites-two-alphaproteobacteria-rhodobacter-sphaeroides-novosphingobium-aromaticivorans-dsm" TargetMode="External"/><Relationship Id="rId20" Type="http://schemas.openxmlformats.org/officeDocument/2006/relationships/hyperlink" Target="https://www.osti.gov/pages/biblio/1657307-genome-wide-identification-transcription-start-sites-two-alphaproteobacteria-rhodobacter-sphaeroides-novosphingobium-aromaticivorans-ds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osti.gov/pages/biblio/1639129-genome-scale-transcription-translation-mapping-reveals-features-zymomonas-mobilis-transcription-units-promoters" TargetMode="External"/><Relationship Id="rId24" Type="http://schemas.openxmlformats.org/officeDocument/2006/relationships/hyperlink" Target="https://www.glbrc.org/research/highlights/uncovering-new-features-of-bacterial-control-elements" TargetMode="External"/><Relationship Id="rId5" Type="http://schemas.openxmlformats.org/officeDocument/2006/relationships/footnotes" Target="footnotes.xml"/><Relationship Id="rId15" Type="http://schemas.openxmlformats.org/officeDocument/2006/relationships/hyperlink" Target="https://www.osti.gov/pages/biblio/1657307-genome-wide-identification-transcription-start-sites-two-alphaproteobacteria-rhodobacter-sphaeroides-novosphingobium-aromaticivorans-dsm" TargetMode="External"/><Relationship Id="rId23" Type="http://schemas.openxmlformats.org/officeDocument/2006/relationships/hyperlink" Target="https://doi.org/10.1073/pnas.2010087117" TargetMode="External"/><Relationship Id="rId10" Type="http://schemas.openxmlformats.org/officeDocument/2006/relationships/hyperlink" Target="mailto:rgourse@bact.wisc.edu" TargetMode="External"/><Relationship Id="rId19" Type="http://schemas.openxmlformats.org/officeDocument/2006/relationships/hyperlink" Target="https://www.osti.gov/pages/biblio/1657307-genome-wide-identification-transcription-start-sites-two-alphaproteobacteria-rhodobacter-sphaeroides-novosphingobium-aromaticivorans-dsm" TargetMode="External"/><Relationship Id="rId4" Type="http://schemas.openxmlformats.org/officeDocument/2006/relationships/webSettings" Target="webSettings.xml"/><Relationship Id="rId9" Type="http://schemas.openxmlformats.org/officeDocument/2006/relationships/hyperlink" Target="mailto:tdonohue@bact.wisc.edu" TargetMode="External"/><Relationship Id="rId14" Type="http://schemas.openxmlformats.org/officeDocument/2006/relationships/hyperlink" Target="https://doi.org/10.1128/mSystems.00250-20" TargetMode="External"/><Relationship Id="rId22" Type="http://schemas.openxmlformats.org/officeDocument/2006/relationships/hyperlink" Target="https://doi.org/10.1128/MRA.00880-2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dliGkh9t6X2tfmcVjbI6nsxxQA==">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1060</Words>
  <Characters>6042</Characters>
  <Application>Microsoft Office Word</Application>
  <DocSecurity>0</DocSecurity>
  <Lines>50</Lines>
  <Paragraphs>14</Paragraphs>
  <ScaleCrop>false</ScaleCrop>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Brown</dc:creator>
  <cp:lastModifiedBy>Matthew Wisniewski</cp:lastModifiedBy>
  <cp:revision>2</cp:revision>
  <dcterms:created xsi:type="dcterms:W3CDTF">2019-06-03T18:28:00Z</dcterms:created>
  <dcterms:modified xsi:type="dcterms:W3CDTF">2020-11-11T16:18:00Z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ca296379-edcd-4a74-8de5-7e9766dd951b</vt:lpwstr>
  </property>
</Properties>
</file>