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F399" w14:textId="77777777" w:rsidR="0098299F" w:rsidRPr="0089781E" w:rsidRDefault="0098299F" w:rsidP="0098299F">
      <w:pPr>
        <w:rPr>
          <w:rFonts w:asciiTheme="minorHAnsi" w:eastAsiaTheme="minorHAnsi" w:hAnsiTheme="minorHAnsi" w:cs="AdvOTb65e897d.B"/>
          <w:sz w:val="19"/>
          <w:szCs w:val="19"/>
        </w:rPr>
      </w:pPr>
    </w:p>
    <w:p w14:paraId="28698E0B" w14:textId="77777777" w:rsidR="008A4ACE" w:rsidRPr="008A4ACE" w:rsidRDefault="008A4ACE" w:rsidP="008A4ACE">
      <w:pPr>
        <w:rPr>
          <w:rFonts w:asciiTheme="minorHAnsi" w:eastAsiaTheme="minorHAnsi" w:hAnsiTheme="minorHAnsi" w:cs="AdvOTb65e897d.B"/>
          <w:b/>
          <w:szCs w:val="22"/>
        </w:rPr>
      </w:pPr>
      <w:r w:rsidRPr="008A4ACE">
        <w:rPr>
          <w:rFonts w:asciiTheme="minorHAnsi" w:eastAsiaTheme="minorHAnsi" w:hAnsiTheme="minorHAnsi" w:cs="AdvOTb65e897d.B"/>
          <w:b/>
          <w:bCs/>
          <w:szCs w:val="22"/>
        </w:rPr>
        <w:t xml:space="preserve">Effects of lignin on </w:t>
      </w:r>
      <w:proofErr w:type="spellStart"/>
      <w:r w:rsidRPr="008A4ACE">
        <w:rPr>
          <w:rFonts w:asciiTheme="minorHAnsi" w:eastAsiaTheme="minorHAnsi" w:hAnsiTheme="minorHAnsi" w:cs="AdvOTb65e897d.B"/>
          <w:b/>
          <w:bCs/>
          <w:szCs w:val="22"/>
        </w:rPr>
        <w:t>cellulase</w:t>
      </w:r>
      <w:proofErr w:type="spellEnd"/>
      <w:r w:rsidRPr="008A4ACE">
        <w:rPr>
          <w:rFonts w:asciiTheme="minorHAnsi" w:eastAsiaTheme="minorHAnsi" w:hAnsiTheme="minorHAnsi" w:cs="AdvOTb65e897d.B"/>
          <w:b/>
          <w:bCs/>
          <w:szCs w:val="22"/>
        </w:rPr>
        <w:t xml:space="preserve"> during lignocellulosic biomass </w:t>
      </w:r>
      <w:proofErr w:type="spellStart"/>
      <w:r w:rsidRPr="008A4ACE">
        <w:rPr>
          <w:rFonts w:asciiTheme="minorHAnsi" w:eastAsiaTheme="minorHAnsi" w:hAnsiTheme="minorHAnsi" w:cs="AdvOTb65e897d.B"/>
          <w:b/>
          <w:bCs/>
          <w:szCs w:val="22"/>
        </w:rPr>
        <w:t>saccharification</w:t>
      </w:r>
      <w:proofErr w:type="spellEnd"/>
    </w:p>
    <w:p w14:paraId="4EF59C00" w14:textId="23204B47" w:rsidR="00030911" w:rsidRPr="00D1040F" w:rsidRDefault="009F78D1" w:rsidP="0098299F">
      <w:pPr>
        <w:rPr>
          <w:rFonts w:ascii="Calibri" w:eastAsiaTheme="minorHAnsi" w:hAnsi="Calibri" w:cs="AdvOTb65e897d.B"/>
          <w:szCs w:val="22"/>
        </w:rPr>
      </w:pPr>
      <w:r w:rsidRPr="009F78D1">
        <w:rPr>
          <w:rFonts w:ascii="Calibri" w:eastAsia="Times New Roman" w:hAnsi="Calibri"/>
        </w:rPr>
        <w:t xml:space="preserve">Non-productive binding of enzymes to lignin is thought to impede the </w:t>
      </w:r>
      <w:proofErr w:type="spellStart"/>
      <w:r w:rsidRPr="009F78D1">
        <w:rPr>
          <w:rFonts w:ascii="Calibri" w:eastAsia="Times New Roman" w:hAnsi="Calibri"/>
        </w:rPr>
        <w:t>saccharification</w:t>
      </w:r>
      <w:proofErr w:type="spellEnd"/>
      <w:r w:rsidRPr="009F78D1">
        <w:rPr>
          <w:rFonts w:ascii="Calibri" w:eastAsia="Times New Roman" w:hAnsi="Calibri"/>
        </w:rPr>
        <w:t xml:space="preserve"> efficiency of pretreated lignocellulosic biomass to fermentable sugars. Due to a lack of suitable analytical techniques that track binding of individual enzymes within complex protein mixtures and the difficulty in distinguishing the contribution of productive (binding to specific </w:t>
      </w:r>
      <w:proofErr w:type="spellStart"/>
      <w:r w:rsidRPr="009F78D1">
        <w:rPr>
          <w:rFonts w:ascii="Calibri" w:eastAsia="Times New Roman" w:hAnsi="Calibri"/>
        </w:rPr>
        <w:t>glycans</w:t>
      </w:r>
      <w:proofErr w:type="spellEnd"/>
      <w:r w:rsidRPr="009F78D1">
        <w:rPr>
          <w:rFonts w:ascii="Calibri" w:eastAsia="Times New Roman" w:hAnsi="Calibri"/>
        </w:rPr>
        <w:t xml:space="preserve">) versus non-productive (binding to lignin) binding of </w:t>
      </w:r>
      <w:proofErr w:type="spellStart"/>
      <w:r w:rsidRPr="009F78D1">
        <w:rPr>
          <w:rFonts w:ascii="Calibri" w:eastAsia="Times New Roman" w:hAnsi="Calibri"/>
        </w:rPr>
        <w:t>cellulases</w:t>
      </w:r>
      <w:proofErr w:type="spellEnd"/>
      <w:r w:rsidRPr="009F78D1">
        <w:rPr>
          <w:rFonts w:ascii="Calibri" w:eastAsia="Times New Roman" w:hAnsi="Calibri"/>
        </w:rPr>
        <w:t xml:space="preserve"> to lignocellulose, there is currently a poor understanding of individual </w:t>
      </w:r>
      <w:r w:rsidRPr="00D1040F">
        <w:rPr>
          <w:rFonts w:ascii="Calibri" w:eastAsia="Times New Roman" w:hAnsi="Calibri"/>
        </w:rPr>
        <w:t xml:space="preserve">enzyme adsorption to lignin during the time course of pretreated biomass </w:t>
      </w:r>
      <w:proofErr w:type="spellStart"/>
      <w:r w:rsidRPr="00D1040F">
        <w:rPr>
          <w:rFonts w:ascii="Calibri" w:eastAsia="Times New Roman" w:hAnsi="Calibri"/>
        </w:rPr>
        <w:t>saccharification</w:t>
      </w:r>
      <w:proofErr w:type="spellEnd"/>
      <w:r w:rsidRPr="00D1040F">
        <w:rPr>
          <w:rFonts w:ascii="Calibri" w:eastAsia="Times New Roman" w:hAnsi="Calibri"/>
        </w:rPr>
        <w:t>.</w:t>
      </w:r>
      <w:r w:rsidR="00D1040F">
        <w:rPr>
          <w:rFonts w:ascii="Calibri" w:eastAsiaTheme="minorHAnsi" w:hAnsi="Calibri" w:cs="AdvOTb65e897d.B"/>
          <w:szCs w:val="22"/>
        </w:rPr>
        <w:t xml:space="preserve"> </w:t>
      </w:r>
      <w:r w:rsidR="00030911" w:rsidRPr="00D1040F">
        <w:rPr>
          <w:rFonts w:ascii="Calibri" w:eastAsiaTheme="minorHAnsi" w:hAnsi="Calibri" w:cs="AdvOTb65e897d.B"/>
          <w:szCs w:val="22"/>
        </w:rPr>
        <w:t>Researchers in the DOE’s Great L</w:t>
      </w:r>
      <w:r w:rsidR="00D1040F" w:rsidRPr="00D1040F">
        <w:rPr>
          <w:rFonts w:ascii="Calibri" w:eastAsiaTheme="minorHAnsi" w:hAnsi="Calibri" w:cs="AdvOTb65e897d.B"/>
          <w:szCs w:val="22"/>
        </w:rPr>
        <w:t xml:space="preserve">akes Bioenergy Research Center </w:t>
      </w:r>
      <w:r w:rsidR="00D1040F" w:rsidRPr="00D1040F">
        <w:rPr>
          <w:rFonts w:ascii="Calibri" w:eastAsia="Times New Roman" w:hAnsi="Calibri"/>
        </w:rPr>
        <w:t xml:space="preserve">utilized an FPLC (fast protein liquid chromatography)-based methodology to quantify free </w:t>
      </w:r>
      <w:proofErr w:type="spellStart"/>
      <w:r w:rsidR="00D1040F" w:rsidRPr="00D1040F">
        <w:rPr>
          <w:rStyle w:val="Emphasis"/>
          <w:rFonts w:ascii="Calibri" w:eastAsia="Times New Roman" w:hAnsi="Calibri"/>
        </w:rPr>
        <w:t>Trichoderma</w:t>
      </w:r>
      <w:proofErr w:type="spellEnd"/>
      <w:r w:rsidR="00D1040F" w:rsidRPr="00D1040F">
        <w:rPr>
          <w:rStyle w:val="Emphasis"/>
          <w:rFonts w:ascii="Calibri" w:eastAsia="Times New Roman" w:hAnsi="Calibri"/>
        </w:rPr>
        <w:t xml:space="preserve"> </w:t>
      </w:r>
      <w:proofErr w:type="spellStart"/>
      <w:r w:rsidR="00D1040F" w:rsidRPr="00D1040F">
        <w:rPr>
          <w:rStyle w:val="Emphasis"/>
          <w:rFonts w:ascii="Calibri" w:eastAsia="Times New Roman" w:hAnsi="Calibri"/>
        </w:rPr>
        <w:t>reesei</w:t>
      </w:r>
      <w:proofErr w:type="spellEnd"/>
      <w:r w:rsidR="00D1040F" w:rsidRPr="00D1040F">
        <w:rPr>
          <w:rFonts w:ascii="Calibri" w:eastAsia="Times New Roman" w:hAnsi="Calibri"/>
        </w:rPr>
        <w:t xml:space="preserve"> </w:t>
      </w:r>
      <w:proofErr w:type="spellStart"/>
      <w:r w:rsidR="00D1040F" w:rsidRPr="00D1040F">
        <w:rPr>
          <w:rFonts w:ascii="Calibri" w:eastAsia="Times New Roman" w:hAnsi="Calibri"/>
        </w:rPr>
        <w:t>cellulases</w:t>
      </w:r>
      <w:proofErr w:type="spellEnd"/>
      <w:r w:rsidR="00D1040F" w:rsidRPr="00D1040F">
        <w:rPr>
          <w:rFonts w:ascii="Calibri" w:eastAsia="Times New Roman" w:hAnsi="Calibri"/>
        </w:rPr>
        <w:t xml:space="preserve"> (namely CBH I, CBH II, and EG I) concentration within a complex </w:t>
      </w:r>
      <w:proofErr w:type="spellStart"/>
      <w:r w:rsidR="00D1040F" w:rsidRPr="00D1040F">
        <w:rPr>
          <w:rFonts w:ascii="Calibri" w:eastAsia="Times New Roman" w:hAnsi="Calibri"/>
        </w:rPr>
        <w:t>hydroly</w:t>
      </w:r>
      <w:r w:rsidR="009B1167">
        <w:rPr>
          <w:rFonts w:ascii="Calibri" w:eastAsia="Times New Roman" w:hAnsi="Calibri"/>
        </w:rPr>
        <w:t>s</w:t>
      </w:r>
      <w:r w:rsidR="00D1040F" w:rsidRPr="00D1040F">
        <w:rPr>
          <w:rFonts w:ascii="Calibri" w:eastAsia="Times New Roman" w:hAnsi="Calibri"/>
        </w:rPr>
        <w:t>ate</w:t>
      </w:r>
      <w:proofErr w:type="spellEnd"/>
      <w:r w:rsidR="00D1040F" w:rsidRPr="00D1040F">
        <w:rPr>
          <w:rFonts w:ascii="Calibri" w:eastAsia="Times New Roman" w:hAnsi="Calibri"/>
        </w:rPr>
        <w:t xml:space="preserve"> mixture during the varying time course of biomass </w:t>
      </w:r>
      <w:proofErr w:type="spellStart"/>
      <w:r w:rsidR="00D1040F" w:rsidRPr="00D1040F">
        <w:rPr>
          <w:rFonts w:ascii="Calibri" w:eastAsia="Times New Roman" w:hAnsi="Calibri"/>
        </w:rPr>
        <w:t>saccharification</w:t>
      </w:r>
      <w:proofErr w:type="spellEnd"/>
      <w:r w:rsidR="00D1040F" w:rsidRPr="00D1040F">
        <w:rPr>
          <w:rFonts w:ascii="Calibri" w:eastAsia="Times New Roman" w:hAnsi="Calibri"/>
        </w:rPr>
        <w:t>. Three pretrea</w:t>
      </w:r>
      <w:r w:rsidR="00C46B2B">
        <w:rPr>
          <w:rFonts w:ascii="Calibri" w:eastAsia="Times New Roman" w:hAnsi="Calibri"/>
        </w:rPr>
        <w:t xml:space="preserve">ted corn </w:t>
      </w:r>
      <w:proofErr w:type="spellStart"/>
      <w:r w:rsidR="00C46B2B">
        <w:rPr>
          <w:rFonts w:ascii="Calibri" w:eastAsia="Times New Roman" w:hAnsi="Calibri"/>
        </w:rPr>
        <w:t>stover</w:t>
      </w:r>
      <w:proofErr w:type="spellEnd"/>
      <w:r w:rsidR="00C46B2B">
        <w:rPr>
          <w:rFonts w:ascii="Calibri" w:eastAsia="Times New Roman" w:hAnsi="Calibri"/>
        </w:rPr>
        <w:t xml:space="preserve"> </w:t>
      </w:r>
      <w:r w:rsidR="00D1040F" w:rsidRPr="00D1040F">
        <w:rPr>
          <w:rFonts w:ascii="Calibri" w:eastAsia="Times New Roman" w:hAnsi="Calibri"/>
        </w:rPr>
        <w:t>samples were included in this study: Ammonia Fiber Expansion</w:t>
      </w:r>
      <w:r w:rsidR="00C46B2B">
        <w:rPr>
          <w:rFonts w:ascii="Calibri" w:eastAsia="Times New Roman" w:hAnsi="Calibri"/>
        </w:rPr>
        <w:t xml:space="preserve">, dilute acid, and ionic liquid </w:t>
      </w:r>
      <w:r w:rsidR="00D1040F" w:rsidRPr="00D1040F">
        <w:rPr>
          <w:rFonts w:ascii="Calibri" w:eastAsia="Times New Roman" w:hAnsi="Calibri"/>
        </w:rPr>
        <w:t>pretreatments</w:t>
      </w:r>
      <w:r w:rsidR="00C46B2B">
        <w:rPr>
          <w:rFonts w:ascii="Calibri" w:eastAsia="Times New Roman" w:hAnsi="Calibri"/>
        </w:rPr>
        <w:t>, which are the pretreatments being researched by the 3 DOE-funded BRCs</w:t>
      </w:r>
      <w:r w:rsidR="00D1040F" w:rsidRPr="00D1040F">
        <w:rPr>
          <w:rFonts w:ascii="Calibri" w:eastAsia="Times New Roman" w:hAnsi="Calibri"/>
        </w:rPr>
        <w:t xml:space="preserve">. The relative fraction of bound individual </w:t>
      </w:r>
      <w:proofErr w:type="spellStart"/>
      <w:r w:rsidR="00D1040F" w:rsidRPr="00D1040F">
        <w:rPr>
          <w:rFonts w:ascii="Calibri" w:eastAsia="Times New Roman" w:hAnsi="Calibri"/>
        </w:rPr>
        <w:t>cellulases</w:t>
      </w:r>
      <w:proofErr w:type="spellEnd"/>
      <w:r w:rsidR="00D1040F" w:rsidRPr="00D1040F">
        <w:rPr>
          <w:rFonts w:ascii="Calibri" w:eastAsia="Times New Roman" w:hAnsi="Calibri"/>
        </w:rPr>
        <w:t xml:space="preserve"> varied depending not only on the pretreated biomass type (and lignin abundance) but also on the type of </w:t>
      </w:r>
      <w:proofErr w:type="spellStart"/>
      <w:r w:rsidR="00D1040F" w:rsidRPr="00D1040F">
        <w:rPr>
          <w:rFonts w:ascii="Calibri" w:eastAsia="Times New Roman" w:hAnsi="Calibri"/>
        </w:rPr>
        <w:t>cellulase</w:t>
      </w:r>
      <w:proofErr w:type="spellEnd"/>
      <w:r w:rsidR="00D1040F" w:rsidRPr="00D1040F">
        <w:rPr>
          <w:rFonts w:ascii="Calibri" w:eastAsia="Times New Roman" w:hAnsi="Calibri"/>
        </w:rPr>
        <w:t xml:space="preserve">. Acid pretreated biomass had the highest levels of non-recoverable </w:t>
      </w:r>
      <w:proofErr w:type="spellStart"/>
      <w:r w:rsidR="00D1040F" w:rsidRPr="00D1040F">
        <w:rPr>
          <w:rFonts w:ascii="Calibri" w:eastAsia="Times New Roman" w:hAnsi="Calibri"/>
        </w:rPr>
        <w:t>cellulases</w:t>
      </w:r>
      <w:proofErr w:type="spellEnd"/>
      <w:r w:rsidR="00D1040F" w:rsidRPr="00D1040F">
        <w:rPr>
          <w:rFonts w:ascii="Calibri" w:eastAsia="Times New Roman" w:hAnsi="Calibri"/>
        </w:rPr>
        <w:t xml:space="preserve">, while ionic liquid pretreated biomass had the highest overall </w:t>
      </w:r>
      <w:proofErr w:type="spellStart"/>
      <w:r w:rsidR="00D1040F" w:rsidRPr="00D1040F">
        <w:rPr>
          <w:rFonts w:ascii="Calibri" w:eastAsia="Times New Roman" w:hAnsi="Calibri"/>
        </w:rPr>
        <w:t>cellulase</w:t>
      </w:r>
      <w:proofErr w:type="spellEnd"/>
      <w:r w:rsidR="00D1040F" w:rsidRPr="00D1040F">
        <w:rPr>
          <w:rFonts w:ascii="Calibri" w:eastAsia="Times New Roman" w:hAnsi="Calibri"/>
        </w:rPr>
        <w:t xml:space="preserve"> recovery. CBH II has the lowest thermal stability among the three </w:t>
      </w:r>
      <w:r w:rsidR="00D1040F" w:rsidRPr="00D1040F">
        <w:rPr>
          <w:rStyle w:val="Emphasis"/>
          <w:rFonts w:ascii="Calibri" w:eastAsia="Times New Roman" w:hAnsi="Calibri"/>
        </w:rPr>
        <w:t xml:space="preserve">T. </w:t>
      </w:r>
      <w:proofErr w:type="spellStart"/>
      <w:r w:rsidR="00D1040F" w:rsidRPr="00D1040F">
        <w:rPr>
          <w:rStyle w:val="Emphasis"/>
          <w:rFonts w:ascii="Calibri" w:eastAsia="Times New Roman" w:hAnsi="Calibri"/>
        </w:rPr>
        <w:t>reesei</w:t>
      </w:r>
      <w:proofErr w:type="spellEnd"/>
      <w:r w:rsidR="00D1040F" w:rsidRPr="00D1040F">
        <w:rPr>
          <w:rFonts w:ascii="Calibri" w:eastAsia="Times New Roman" w:hAnsi="Calibri"/>
        </w:rPr>
        <w:t xml:space="preserve"> </w:t>
      </w:r>
      <w:proofErr w:type="spellStart"/>
      <w:r w:rsidR="00D1040F" w:rsidRPr="00D1040F">
        <w:rPr>
          <w:rFonts w:ascii="Calibri" w:eastAsia="Times New Roman" w:hAnsi="Calibri"/>
        </w:rPr>
        <w:t>cellulases</w:t>
      </w:r>
      <w:proofErr w:type="spellEnd"/>
      <w:r w:rsidR="00D1040F" w:rsidRPr="00D1040F">
        <w:rPr>
          <w:rFonts w:ascii="Calibri" w:eastAsia="Times New Roman" w:hAnsi="Calibri"/>
        </w:rPr>
        <w:t xml:space="preserve"> tested. By preparing recombinant family 1 carbohydrate binding module (CBM) fusion proteins, </w:t>
      </w:r>
      <w:r w:rsidR="00665450">
        <w:rPr>
          <w:rFonts w:ascii="Calibri" w:eastAsia="Times New Roman" w:hAnsi="Calibri"/>
        </w:rPr>
        <w:t>they showed</w:t>
      </w:r>
      <w:r w:rsidR="00D1040F" w:rsidRPr="00D1040F">
        <w:rPr>
          <w:rFonts w:ascii="Calibri" w:eastAsia="Times New Roman" w:hAnsi="Calibri"/>
        </w:rPr>
        <w:t xml:space="preserve"> that family 1 CBMs are highly implicated in the non-productive binding of full-length </w:t>
      </w:r>
      <w:r w:rsidR="00D1040F" w:rsidRPr="00D1040F">
        <w:rPr>
          <w:rStyle w:val="Emphasis"/>
          <w:rFonts w:ascii="Calibri" w:eastAsia="Times New Roman" w:hAnsi="Calibri"/>
        </w:rPr>
        <w:t xml:space="preserve">T. </w:t>
      </w:r>
      <w:proofErr w:type="spellStart"/>
      <w:r w:rsidR="00D1040F" w:rsidRPr="00D1040F">
        <w:rPr>
          <w:rStyle w:val="Emphasis"/>
          <w:rFonts w:ascii="Calibri" w:eastAsia="Times New Roman" w:hAnsi="Calibri"/>
        </w:rPr>
        <w:t>reesei</w:t>
      </w:r>
      <w:proofErr w:type="spellEnd"/>
      <w:r w:rsidR="00D1040F" w:rsidRPr="00D1040F">
        <w:rPr>
          <w:rFonts w:ascii="Calibri" w:eastAsia="Times New Roman" w:hAnsi="Calibri"/>
        </w:rPr>
        <w:t xml:space="preserve"> </w:t>
      </w:r>
      <w:proofErr w:type="spellStart"/>
      <w:r w:rsidR="00D1040F" w:rsidRPr="00D1040F">
        <w:rPr>
          <w:rFonts w:ascii="Calibri" w:eastAsia="Times New Roman" w:hAnsi="Calibri"/>
        </w:rPr>
        <w:t>cellulases</w:t>
      </w:r>
      <w:proofErr w:type="spellEnd"/>
      <w:r w:rsidR="00D1040F" w:rsidRPr="00D1040F">
        <w:rPr>
          <w:rFonts w:ascii="Calibri" w:eastAsia="Times New Roman" w:hAnsi="Calibri"/>
        </w:rPr>
        <w:t xml:space="preserve"> to lignin. Their findings aid in further understanding the complex mechanisms of non-productive binding of </w:t>
      </w:r>
      <w:proofErr w:type="spellStart"/>
      <w:r w:rsidR="00D1040F" w:rsidRPr="00D1040F">
        <w:rPr>
          <w:rFonts w:ascii="Calibri" w:eastAsia="Times New Roman" w:hAnsi="Calibri"/>
        </w:rPr>
        <w:t>cellulases</w:t>
      </w:r>
      <w:proofErr w:type="spellEnd"/>
      <w:r w:rsidR="00D1040F" w:rsidRPr="00D1040F">
        <w:rPr>
          <w:rFonts w:ascii="Calibri" w:eastAsia="Times New Roman" w:hAnsi="Calibri"/>
        </w:rPr>
        <w:t xml:space="preserve"> to pretreated lignocellulosic biomass. Developing optimized pretreatment processes with reduced or modified lignin content to minimize non-productive enzyme binding or engineering </w:t>
      </w:r>
      <w:bookmarkStart w:id="0" w:name="_GoBack"/>
      <w:bookmarkEnd w:id="0"/>
      <w:r w:rsidR="00D1040F" w:rsidRPr="00D1040F">
        <w:rPr>
          <w:rFonts w:ascii="Calibri" w:eastAsia="Times New Roman" w:hAnsi="Calibri"/>
        </w:rPr>
        <w:t xml:space="preserve">pretreatment-specific, low-lignin binding </w:t>
      </w:r>
      <w:proofErr w:type="spellStart"/>
      <w:r w:rsidR="00D1040F" w:rsidRPr="00D1040F">
        <w:rPr>
          <w:rFonts w:ascii="Calibri" w:eastAsia="Times New Roman" w:hAnsi="Calibri"/>
        </w:rPr>
        <w:t>cellulases</w:t>
      </w:r>
      <w:proofErr w:type="spellEnd"/>
      <w:r w:rsidR="00D1040F" w:rsidRPr="00D1040F">
        <w:rPr>
          <w:rFonts w:ascii="Calibri" w:eastAsia="Times New Roman" w:hAnsi="Calibri"/>
        </w:rPr>
        <w:t xml:space="preserve"> will improve enzyme specific activity, facilitate enzyme recycling, and thereby permit production of cheaper biofuels.</w:t>
      </w:r>
    </w:p>
    <w:p w14:paraId="592FC128" w14:textId="77777777" w:rsidR="008A4ACE" w:rsidRPr="008A4ACE" w:rsidRDefault="008119FF" w:rsidP="008A4ACE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References:</w:t>
      </w:r>
      <w:r w:rsidR="0089781E" w:rsidRPr="0089781E">
        <w:rPr>
          <w:rFonts w:asciiTheme="minorHAnsi" w:hAnsiTheme="minorHAnsi"/>
          <w:szCs w:val="22"/>
        </w:rPr>
        <w:t xml:space="preserve"> </w:t>
      </w:r>
      <w:proofErr w:type="spellStart"/>
      <w:r w:rsidR="008A4ACE" w:rsidRPr="008A4ACE">
        <w:rPr>
          <w:rFonts w:asciiTheme="minorHAnsi" w:hAnsiTheme="minorHAnsi"/>
          <w:szCs w:val="22"/>
        </w:rPr>
        <w:t>Gao</w:t>
      </w:r>
      <w:proofErr w:type="spellEnd"/>
      <w:r w:rsidR="008A4ACE" w:rsidRPr="008A4ACE">
        <w:rPr>
          <w:rFonts w:asciiTheme="minorHAnsi" w:hAnsiTheme="minorHAnsi"/>
          <w:szCs w:val="22"/>
        </w:rPr>
        <w:t xml:space="preserve">, D., </w:t>
      </w:r>
      <w:proofErr w:type="spellStart"/>
      <w:r w:rsidR="008A4ACE" w:rsidRPr="008A4ACE">
        <w:rPr>
          <w:rFonts w:asciiTheme="minorHAnsi" w:hAnsiTheme="minorHAnsi"/>
          <w:szCs w:val="22"/>
        </w:rPr>
        <w:t>Haarmeyer</w:t>
      </w:r>
      <w:proofErr w:type="spellEnd"/>
      <w:r w:rsidR="008A4ACE" w:rsidRPr="008A4ACE">
        <w:rPr>
          <w:rFonts w:asciiTheme="minorHAnsi" w:hAnsiTheme="minorHAnsi"/>
          <w:szCs w:val="22"/>
        </w:rPr>
        <w:t xml:space="preserve">, C., </w:t>
      </w:r>
      <w:proofErr w:type="spellStart"/>
      <w:r w:rsidR="008A4ACE" w:rsidRPr="008A4ACE">
        <w:rPr>
          <w:rFonts w:asciiTheme="minorHAnsi" w:hAnsiTheme="minorHAnsi"/>
          <w:szCs w:val="22"/>
        </w:rPr>
        <w:t>Balan</w:t>
      </w:r>
      <w:proofErr w:type="spellEnd"/>
      <w:r w:rsidR="008A4ACE" w:rsidRPr="008A4ACE">
        <w:rPr>
          <w:rFonts w:asciiTheme="minorHAnsi" w:hAnsiTheme="minorHAnsi"/>
          <w:szCs w:val="22"/>
        </w:rPr>
        <w:t xml:space="preserve">, V., Whitehead T.A., Dale, B.E., </w:t>
      </w:r>
      <w:proofErr w:type="spellStart"/>
      <w:r w:rsidR="008A4ACE" w:rsidRPr="008A4ACE">
        <w:rPr>
          <w:rFonts w:asciiTheme="minorHAnsi" w:hAnsiTheme="minorHAnsi"/>
          <w:szCs w:val="22"/>
        </w:rPr>
        <w:t>Chundawat</w:t>
      </w:r>
      <w:proofErr w:type="spellEnd"/>
      <w:r w:rsidR="008A4ACE" w:rsidRPr="008A4ACE">
        <w:rPr>
          <w:rFonts w:asciiTheme="minorHAnsi" w:hAnsiTheme="minorHAnsi"/>
          <w:szCs w:val="22"/>
        </w:rPr>
        <w:t xml:space="preserve">, S.P.S. “Lignin triggers irreversible </w:t>
      </w:r>
      <w:proofErr w:type="spellStart"/>
      <w:r w:rsidR="008A4ACE" w:rsidRPr="008A4ACE">
        <w:rPr>
          <w:rFonts w:asciiTheme="minorHAnsi" w:hAnsiTheme="minorHAnsi"/>
          <w:szCs w:val="22"/>
        </w:rPr>
        <w:t>cellulase</w:t>
      </w:r>
      <w:proofErr w:type="spellEnd"/>
      <w:r w:rsidR="008A4ACE" w:rsidRPr="008A4ACE">
        <w:rPr>
          <w:rFonts w:asciiTheme="minorHAnsi" w:hAnsiTheme="minorHAnsi"/>
          <w:szCs w:val="22"/>
        </w:rPr>
        <w:t xml:space="preserve"> loss during pretreated lignocellulosic biomass </w:t>
      </w:r>
      <w:proofErr w:type="spellStart"/>
      <w:r w:rsidR="008A4ACE" w:rsidRPr="008A4ACE">
        <w:rPr>
          <w:rFonts w:asciiTheme="minorHAnsi" w:hAnsiTheme="minorHAnsi"/>
          <w:szCs w:val="22"/>
        </w:rPr>
        <w:t>saccharification</w:t>
      </w:r>
      <w:proofErr w:type="spellEnd"/>
      <w:r w:rsidR="008A4ACE" w:rsidRPr="008A4ACE">
        <w:rPr>
          <w:rFonts w:asciiTheme="minorHAnsi" w:hAnsiTheme="minorHAnsi"/>
          <w:szCs w:val="22"/>
        </w:rPr>
        <w:t xml:space="preserve">”. Biotechnology for </w:t>
      </w:r>
      <w:proofErr w:type="gramStart"/>
      <w:r w:rsidR="008A4ACE" w:rsidRPr="008A4ACE">
        <w:rPr>
          <w:rFonts w:asciiTheme="minorHAnsi" w:hAnsiTheme="minorHAnsi"/>
          <w:szCs w:val="22"/>
        </w:rPr>
        <w:t>Biofuels(</w:t>
      </w:r>
      <w:proofErr w:type="gramEnd"/>
      <w:r w:rsidR="008A4ACE" w:rsidRPr="008A4ACE">
        <w:rPr>
          <w:rFonts w:asciiTheme="minorHAnsi" w:hAnsiTheme="minorHAnsi"/>
          <w:szCs w:val="22"/>
        </w:rPr>
        <w:t>2014). 7:175</w:t>
      </w:r>
    </w:p>
    <w:p w14:paraId="5D7D73E4" w14:textId="06D94B70" w:rsidR="008119FF" w:rsidRPr="0089781E" w:rsidRDefault="008119FF" w:rsidP="008A4ACE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028B0"/>
    <w:rsid w:val="00030911"/>
    <w:rsid w:val="00040C38"/>
    <w:rsid w:val="000F72E0"/>
    <w:rsid w:val="001F0E2A"/>
    <w:rsid w:val="00293C03"/>
    <w:rsid w:val="003151F7"/>
    <w:rsid w:val="003F53BF"/>
    <w:rsid w:val="005106D6"/>
    <w:rsid w:val="005A0A07"/>
    <w:rsid w:val="00665450"/>
    <w:rsid w:val="008119FF"/>
    <w:rsid w:val="0089781E"/>
    <w:rsid w:val="008A4ACE"/>
    <w:rsid w:val="008D5468"/>
    <w:rsid w:val="0094060E"/>
    <w:rsid w:val="00971C08"/>
    <w:rsid w:val="0098299F"/>
    <w:rsid w:val="009B1167"/>
    <w:rsid w:val="009F78D1"/>
    <w:rsid w:val="00A4540F"/>
    <w:rsid w:val="00B22F85"/>
    <w:rsid w:val="00B6334B"/>
    <w:rsid w:val="00BC7A84"/>
    <w:rsid w:val="00BD7DDA"/>
    <w:rsid w:val="00C46B2B"/>
    <w:rsid w:val="00C665E0"/>
    <w:rsid w:val="00CC5EF2"/>
    <w:rsid w:val="00D1040F"/>
    <w:rsid w:val="00D6104B"/>
    <w:rsid w:val="00DF756D"/>
    <w:rsid w:val="00E33580"/>
    <w:rsid w:val="00E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ACE"/>
    <w:rPr>
      <w:rFonts w:ascii="Times" w:eastAsiaTheme="minorHAnsi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1040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ACE"/>
    <w:rPr>
      <w:rFonts w:ascii="Times" w:eastAsiaTheme="minorHAnsi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104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HUBDOC-169-482</_dlc_DocId>
    <_dlc_DocIdUrl xmlns="f66da2ca-f37c-4205-929f-e8e9af1907d3">
      <Url>https://intranet.wei.wisc.edu/glbrc/doe/_layouts/15/DocIdRedir.aspx?ID=HUBDOC-169-482</Url>
      <Description>HUBDOC-169-482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9DCBFA-01A5-46D9-AB56-6C368900D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2210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Kent Peters</dc:creator>
  <cp:lastModifiedBy>Matt Wisniewski</cp:lastModifiedBy>
  <cp:revision>5</cp:revision>
  <dcterms:created xsi:type="dcterms:W3CDTF">2015-05-06T18:21:00Z</dcterms:created>
  <dcterms:modified xsi:type="dcterms:W3CDTF">2015-05-08T13:58:00Z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6c771bfa-05c5-4ca4-ad4c-041e7e704bc1</vt:lpwstr>
  </property>
  <property fmtid="{D5CDD505-2E9C-101B-9397-08002B2CF9AE}" pid="4" name="TaxKeyword">
    <vt:lpwstr/>
  </property>
</Properties>
</file>